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321E" w14:textId="72014CC8" w:rsidR="002E1126" w:rsidRPr="002E1126" w:rsidRDefault="002E1126" w:rsidP="00075776">
      <w:pPr>
        <w:spacing w:before="118" w:line="413" w:lineRule="exact"/>
        <w:ind w:left="120"/>
        <w:rPr>
          <w:b/>
          <w:noProof/>
          <w:sz w:val="44"/>
          <w:szCs w:val="44"/>
        </w:rPr>
      </w:pPr>
    </w:p>
    <w:p w14:paraId="7C06F0A8" w14:textId="77777777" w:rsidR="007F6981" w:rsidRDefault="007F6981" w:rsidP="00075776">
      <w:pPr>
        <w:spacing w:before="118" w:line="413" w:lineRule="exact"/>
        <w:ind w:left="120"/>
        <w:rPr>
          <w:rFonts w:asciiTheme="minorHAnsi" w:hAnsiTheme="minorHAnsi" w:cstheme="minorHAnsi"/>
          <w:b/>
          <w:noProof/>
          <w:sz w:val="32"/>
          <w:szCs w:val="32"/>
        </w:rPr>
      </w:pPr>
    </w:p>
    <w:p w14:paraId="33BD531D" w14:textId="77777777" w:rsidR="007F6981" w:rsidRDefault="007F6981" w:rsidP="00075776">
      <w:pPr>
        <w:spacing w:before="118" w:line="413" w:lineRule="exact"/>
        <w:ind w:left="120"/>
        <w:rPr>
          <w:rFonts w:asciiTheme="minorHAnsi" w:hAnsiTheme="minorHAnsi" w:cstheme="minorHAnsi"/>
          <w:b/>
          <w:noProof/>
          <w:sz w:val="32"/>
          <w:szCs w:val="32"/>
        </w:rPr>
      </w:pPr>
    </w:p>
    <w:p w14:paraId="1218B915" w14:textId="77777777" w:rsidR="007F6981" w:rsidRDefault="007F6981" w:rsidP="00A41E4A">
      <w:pPr>
        <w:spacing w:before="118" w:after="240" w:line="413" w:lineRule="exact"/>
        <w:ind w:left="120"/>
        <w:rPr>
          <w:rFonts w:asciiTheme="minorHAnsi" w:hAnsiTheme="minorHAnsi" w:cstheme="minorHAnsi"/>
          <w:b/>
          <w:noProof/>
          <w:sz w:val="32"/>
          <w:szCs w:val="32"/>
        </w:rPr>
      </w:pPr>
    </w:p>
    <w:p w14:paraId="45A96956" w14:textId="290720DA" w:rsidR="00075776" w:rsidRPr="00611AD4" w:rsidRDefault="00BF6B0E" w:rsidP="00FE792E">
      <w:pPr>
        <w:pStyle w:val="Heading1"/>
      </w:pPr>
      <w:r w:rsidRPr="00611AD4">
        <w:rPr>
          <w:noProof/>
        </w:rPr>
        <w:t>Regulation Best Interest Disclosure</w:t>
      </w:r>
    </w:p>
    <w:p w14:paraId="41A27F15" w14:textId="77777777" w:rsidR="002B52AC" w:rsidRDefault="002B52AC" w:rsidP="00412143">
      <w:pPr>
        <w:pStyle w:val="BodyText"/>
        <w:ind w:left="144" w:right="30"/>
        <w:jc w:val="both"/>
        <w:rPr>
          <w:rFonts w:asciiTheme="minorHAnsi" w:hAnsiTheme="minorHAnsi" w:cstheme="minorHAnsi"/>
          <w:sz w:val="22"/>
          <w:szCs w:val="22"/>
        </w:rPr>
      </w:pPr>
    </w:p>
    <w:p w14:paraId="62368355" w14:textId="54E3C8FD" w:rsidR="00BA1A4A" w:rsidRPr="0094561D" w:rsidRDefault="006A1660" w:rsidP="00412143">
      <w:pPr>
        <w:pStyle w:val="BodyText"/>
        <w:ind w:left="144" w:right="30"/>
        <w:jc w:val="both"/>
        <w:rPr>
          <w:rFonts w:asciiTheme="minorHAnsi" w:hAnsiTheme="minorHAnsi" w:cstheme="minorHAnsi"/>
          <w:sz w:val="21"/>
          <w:szCs w:val="21"/>
        </w:rPr>
      </w:pPr>
      <w:r w:rsidRPr="0094561D">
        <w:rPr>
          <w:rFonts w:asciiTheme="minorHAnsi" w:hAnsiTheme="minorHAnsi" w:cstheme="minorHAnsi"/>
          <w:sz w:val="21"/>
          <w:szCs w:val="21"/>
        </w:rPr>
        <w:t>T</w:t>
      </w:r>
      <w:r w:rsidR="009D4CB2" w:rsidRPr="0094561D">
        <w:rPr>
          <w:rFonts w:asciiTheme="minorHAnsi" w:hAnsiTheme="minorHAnsi" w:cstheme="minorHAnsi"/>
          <w:sz w:val="21"/>
          <w:szCs w:val="21"/>
        </w:rPr>
        <w:t xml:space="preserve">his guide </w:t>
      </w:r>
      <w:r w:rsidR="00B43902" w:rsidRPr="0094561D">
        <w:rPr>
          <w:rFonts w:asciiTheme="minorHAnsi" w:hAnsiTheme="minorHAnsi" w:cstheme="minorHAnsi"/>
          <w:sz w:val="21"/>
          <w:szCs w:val="21"/>
        </w:rPr>
        <w:t>summarizes</w:t>
      </w:r>
      <w:r w:rsidR="009D4CB2" w:rsidRPr="0094561D">
        <w:rPr>
          <w:rFonts w:asciiTheme="minorHAnsi" w:hAnsiTheme="minorHAnsi" w:cstheme="minorHAnsi"/>
          <w:sz w:val="21"/>
          <w:szCs w:val="21"/>
        </w:rPr>
        <w:t xml:space="preserve"> important </w:t>
      </w:r>
      <w:r w:rsidR="00F2567D" w:rsidRPr="0094561D">
        <w:rPr>
          <w:rFonts w:asciiTheme="minorHAnsi" w:hAnsiTheme="minorHAnsi" w:cstheme="minorHAnsi"/>
          <w:sz w:val="21"/>
          <w:szCs w:val="21"/>
        </w:rPr>
        <w:t>information con</w:t>
      </w:r>
      <w:r w:rsidR="00C143E7" w:rsidRPr="0094561D">
        <w:rPr>
          <w:rFonts w:asciiTheme="minorHAnsi" w:hAnsiTheme="minorHAnsi" w:cstheme="minorHAnsi"/>
          <w:sz w:val="21"/>
          <w:szCs w:val="21"/>
        </w:rPr>
        <w:t xml:space="preserve">cerning the scope and terms of </w:t>
      </w:r>
      <w:r w:rsidR="0005319E" w:rsidRPr="0094561D">
        <w:rPr>
          <w:rFonts w:asciiTheme="minorHAnsi" w:hAnsiTheme="minorHAnsi" w:cstheme="minorHAnsi"/>
          <w:sz w:val="21"/>
          <w:szCs w:val="21"/>
        </w:rPr>
        <w:t>the</w:t>
      </w:r>
      <w:r w:rsidR="00F2567D" w:rsidRPr="0094561D">
        <w:rPr>
          <w:rFonts w:asciiTheme="minorHAnsi" w:hAnsiTheme="minorHAnsi" w:cstheme="minorHAnsi"/>
          <w:sz w:val="21"/>
          <w:szCs w:val="21"/>
        </w:rPr>
        <w:t xml:space="preserve"> brokerage </w:t>
      </w:r>
      <w:r w:rsidR="00C143E7" w:rsidRPr="0094561D">
        <w:rPr>
          <w:rFonts w:asciiTheme="minorHAnsi" w:hAnsiTheme="minorHAnsi" w:cstheme="minorHAnsi"/>
          <w:sz w:val="21"/>
          <w:szCs w:val="21"/>
        </w:rPr>
        <w:t>services</w:t>
      </w:r>
      <w:r w:rsidR="00281974" w:rsidRPr="0094561D">
        <w:rPr>
          <w:rFonts w:asciiTheme="minorHAnsi" w:hAnsiTheme="minorHAnsi" w:cstheme="minorHAnsi"/>
          <w:sz w:val="21"/>
          <w:szCs w:val="21"/>
        </w:rPr>
        <w:t xml:space="preserve"> </w:t>
      </w:r>
      <w:r w:rsidR="0005319E" w:rsidRPr="0094561D">
        <w:rPr>
          <w:rFonts w:asciiTheme="minorHAnsi" w:hAnsiTheme="minorHAnsi" w:cstheme="minorHAnsi"/>
          <w:sz w:val="21"/>
          <w:szCs w:val="21"/>
        </w:rPr>
        <w:t xml:space="preserve">we offer </w:t>
      </w:r>
      <w:r w:rsidR="00281974" w:rsidRPr="0094561D">
        <w:rPr>
          <w:rFonts w:asciiTheme="minorHAnsi" w:hAnsiTheme="minorHAnsi" w:cstheme="minorHAnsi"/>
          <w:sz w:val="21"/>
          <w:szCs w:val="21"/>
        </w:rPr>
        <w:t>and</w:t>
      </w:r>
      <w:r w:rsidR="000459D8" w:rsidRPr="0094561D">
        <w:rPr>
          <w:rFonts w:asciiTheme="minorHAnsi" w:hAnsiTheme="minorHAnsi" w:cstheme="minorHAnsi"/>
          <w:sz w:val="21"/>
          <w:szCs w:val="21"/>
        </w:rPr>
        <w:t xml:space="preserve"> details the </w:t>
      </w:r>
      <w:r w:rsidR="0095445F" w:rsidRPr="0094561D">
        <w:rPr>
          <w:rFonts w:asciiTheme="minorHAnsi" w:hAnsiTheme="minorHAnsi" w:cstheme="minorHAnsi"/>
          <w:sz w:val="21"/>
          <w:szCs w:val="21"/>
        </w:rPr>
        <w:t xml:space="preserve">material </w:t>
      </w:r>
      <w:r w:rsidR="00281974" w:rsidRPr="0094561D">
        <w:rPr>
          <w:rFonts w:asciiTheme="minorHAnsi" w:hAnsiTheme="minorHAnsi" w:cstheme="minorHAnsi"/>
          <w:sz w:val="21"/>
          <w:szCs w:val="21"/>
        </w:rPr>
        <w:t xml:space="preserve">conflicts of interest that </w:t>
      </w:r>
      <w:r w:rsidR="00AE0D87" w:rsidRPr="0094561D">
        <w:rPr>
          <w:rFonts w:asciiTheme="minorHAnsi" w:hAnsiTheme="minorHAnsi" w:cstheme="minorHAnsi"/>
          <w:sz w:val="21"/>
          <w:szCs w:val="21"/>
        </w:rPr>
        <w:t>arise through our delivery of brokerage services</w:t>
      </w:r>
      <w:r w:rsidR="0005319E" w:rsidRPr="0094561D">
        <w:rPr>
          <w:rFonts w:asciiTheme="minorHAnsi" w:hAnsiTheme="minorHAnsi" w:cstheme="minorHAnsi"/>
          <w:sz w:val="21"/>
          <w:szCs w:val="21"/>
        </w:rPr>
        <w:t xml:space="preserve"> to you</w:t>
      </w:r>
      <w:r w:rsidR="00AE0D87" w:rsidRPr="0094561D">
        <w:rPr>
          <w:rFonts w:asciiTheme="minorHAnsi" w:hAnsiTheme="minorHAnsi" w:cstheme="minorHAnsi"/>
          <w:sz w:val="21"/>
          <w:szCs w:val="21"/>
        </w:rPr>
        <w:t xml:space="preserve">. </w:t>
      </w:r>
      <w:r w:rsidR="00B43902" w:rsidRPr="0094561D">
        <w:rPr>
          <w:rFonts w:asciiTheme="minorHAnsi" w:hAnsiTheme="minorHAnsi" w:cstheme="minorHAnsi"/>
          <w:sz w:val="21"/>
          <w:szCs w:val="21"/>
        </w:rPr>
        <w:t>We encourage you to review this information carefully, along with any applicable account agreement</w:t>
      </w:r>
      <w:r w:rsidR="00DE7585" w:rsidRPr="0094561D">
        <w:rPr>
          <w:rFonts w:asciiTheme="minorHAnsi" w:hAnsiTheme="minorHAnsi" w:cstheme="minorHAnsi"/>
          <w:sz w:val="21"/>
          <w:szCs w:val="21"/>
        </w:rPr>
        <w:t>(</w:t>
      </w:r>
      <w:r w:rsidR="000459D8" w:rsidRPr="0094561D">
        <w:rPr>
          <w:rFonts w:asciiTheme="minorHAnsi" w:hAnsiTheme="minorHAnsi" w:cstheme="minorHAnsi"/>
          <w:sz w:val="21"/>
          <w:szCs w:val="21"/>
        </w:rPr>
        <w:t>s</w:t>
      </w:r>
      <w:r w:rsidR="00DE7585" w:rsidRPr="0094561D">
        <w:rPr>
          <w:rFonts w:asciiTheme="minorHAnsi" w:hAnsiTheme="minorHAnsi" w:cstheme="minorHAnsi"/>
          <w:sz w:val="21"/>
          <w:szCs w:val="21"/>
        </w:rPr>
        <w:t>)</w:t>
      </w:r>
      <w:r w:rsidR="00B43902" w:rsidRPr="0094561D">
        <w:rPr>
          <w:rFonts w:asciiTheme="minorHAnsi" w:hAnsiTheme="minorHAnsi" w:cstheme="minorHAnsi"/>
          <w:sz w:val="21"/>
          <w:szCs w:val="21"/>
        </w:rPr>
        <w:t xml:space="preserve"> and disclosure documentation you may receive from us. </w:t>
      </w:r>
    </w:p>
    <w:p w14:paraId="7EB0E787" w14:textId="63AF27F7" w:rsidR="00A41E4A" w:rsidRPr="0094561D" w:rsidRDefault="00A41E4A" w:rsidP="00412143">
      <w:pPr>
        <w:pStyle w:val="BodyText"/>
        <w:ind w:left="144" w:right="30"/>
        <w:jc w:val="both"/>
        <w:rPr>
          <w:rFonts w:asciiTheme="minorHAnsi" w:hAnsiTheme="minorHAnsi" w:cstheme="minorHAnsi"/>
          <w:sz w:val="21"/>
          <w:szCs w:val="21"/>
        </w:rPr>
      </w:pPr>
    </w:p>
    <w:p w14:paraId="6965BDC3" w14:textId="55B9C328" w:rsidR="00A41E4A" w:rsidRPr="0094561D" w:rsidRDefault="00A41E4A" w:rsidP="00412143">
      <w:pPr>
        <w:widowControl/>
        <w:adjustRightInd w:val="0"/>
        <w:ind w:left="144"/>
        <w:jc w:val="both"/>
        <w:rPr>
          <w:rFonts w:asciiTheme="minorHAnsi" w:eastAsiaTheme="minorHAnsi" w:hAnsiTheme="minorHAnsi" w:cstheme="minorHAnsi"/>
          <w:color w:val="000000"/>
          <w:sz w:val="21"/>
          <w:szCs w:val="21"/>
        </w:rPr>
      </w:pPr>
      <w:r w:rsidRPr="0094561D">
        <w:rPr>
          <w:rFonts w:asciiTheme="minorHAnsi" w:eastAsiaTheme="minorHAnsi" w:hAnsiTheme="minorHAnsi" w:cstheme="minorHAnsi"/>
          <w:color w:val="000000"/>
          <w:sz w:val="21"/>
          <w:szCs w:val="21"/>
        </w:rPr>
        <w:t xml:space="preserve">All recommendations regarding your </w:t>
      </w:r>
      <w:r w:rsidRPr="0094561D">
        <w:rPr>
          <w:rFonts w:asciiTheme="minorHAnsi" w:eastAsiaTheme="minorHAnsi" w:hAnsiTheme="minorHAnsi" w:cstheme="minorHAnsi"/>
          <w:b/>
          <w:bCs/>
          <w:i/>
          <w:iCs/>
          <w:color w:val="000000"/>
          <w:sz w:val="21"/>
          <w:szCs w:val="21"/>
        </w:rPr>
        <w:t>brokerage account</w:t>
      </w:r>
      <w:r w:rsidRPr="0094561D">
        <w:rPr>
          <w:rFonts w:asciiTheme="minorHAnsi" w:eastAsiaTheme="minorHAnsi" w:hAnsiTheme="minorHAnsi" w:cstheme="minorHAnsi"/>
          <w:color w:val="000000"/>
          <w:sz w:val="21"/>
          <w:szCs w:val="21"/>
        </w:rPr>
        <w:t xml:space="preserve"> will be made in a broker-dealer capacity, and all </w:t>
      </w:r>
      <w:r w:rsidR="002B52AC" w:rsidRPr="0094561D">
        <w:rPr>
          <w:rFonts w:asciiTheme="minorHAnsi" w:eastAsiaTheme="minorHAnsi" w:hAnsiTheme="minorHAnsi" w:cstheme="minorHAnsi"/>
          <w:color w:val="000000"/>
          <w:sz w:val="21"/>
          <w:szCs w:val="21"/>
        </w:rPr>
        <w:t>investing advice</w:t>
      </w:r>
      <w:r w:rsidRPr="0094561D">
        <w:rPr>
          <w:rFonts w:asciiTheme="minorHAnsi" w:eastAsiaTheme="minorHAnsi" w:hAnsiTheme="minorHAnsi" w:cstheme="minorHAnsi"/>
          <w:color w:val="000000"/>
          <w:sz w:val="21"/>
          <w:szCs w:val="21"/>
        </w:rPr>
        <w:t xml:space="preserve"> regarding your advisory account will be made in an advisory capacity. When we make a recommendation</w:t>
      </w:r>
      <w:r w:rsidR="002B52AC" w:rsidRPr="0094561D">
        <w:rPr>
          <w:rFonts w:asciiTheme="minorHAnsi" w:eastAsiaTheme="minorHAnsi" w:hAnsiTheme="minorHAnsi" w:cstheme="minorHAnsi"/>
          <w:color w:val="000000"/>
          <w:sz w:val="21"/>
          <w:szCs w:val="21"/>
        </w:rPr>
        <w:t xml:space="preserve"> or provide investment advice</w:t>
      </w:r>
      <w:r w:rsidRPr="0094561D">
        <w:rPr>
          <w:rFonts w:asciiTheme="minorHAnsi" w:eastAsiaTheme="minorHAnsi" w:hAnsiTheme="minorHAnsi" w:cstheme="minorHAnsi"/>
          <w:color w:val="000000"/>
          <w:sz w:val="21"/>
          <w:szCs w:val="21"/>
        </w:rPr>
        <w:t xml:space="preserve"> to you, we will expressly tell you orally which account we are discussing </w:t>
      </w:r>
    </w:p>
    <w:p w14:paraId="60593C8D" w14:textId="77777777" w:rsidR="00BA1A4A" w:rsidRPr="0094561D" w:rsidRDefault="00BA1A4A" w:rsidP="00412143">
      <w:pPr>
        <w:pStyle w:val="BodyText"/>
        <w:ind w:left="144" w:right="864"/>
        <w:jc w:val="both"/>
        <w:rPr>
          <w:rFonts w:asciiTheme="minorHAnsi" w:hAnsiTheme="minorHAnsi" w:cstheme="minorHAnsi"/>
          <w:sz w:val="21"/>
          <w:szCs w:val="21"/>
        </w:rPr>
      </w:pPr>
    </w:p>
    <w:p w14:paraId="36010188" w14:textId="77777777" w:rsidR="002B52AC" w:rsidRPr="0094561D" w:rsidRDefault="00996D17" w:rsidP="00412143">
      <w:pPr>
        <w:pStyle w:val="Default0"/>
        <w:ind w:left="144"/>
        <w:jc w:val="both"/>
        <w:rPr>
          <w:rFonts w:asciiTheme="minorHAnsi" w:eastAsia="Arial" w:hAnsiTheme="minorHAnsi" w:cstheme="minorHAnsi"/>
          <w:color w:val="auto"/>
          <w:sz w:val="21"/>
          <w:szCs w:val="21"/>
        </w:rPr>
      </w:pPr>
      <w:r w:rsidRPr="0094561D">
        <w:rPr>
          <w:rFonts w:asciiTheme="minorHAnsi" w:eastAsia="Arial" w:hAnsiTheme="minorHAnsi" w:cstheme="minorHAnsi"/>
          <w:color w:val="auto"/>
          <w:sz w:val="21"/>
          <w:szCs w:val="21"/>
        </w:rPr>
        <w:t>As you review th</w:t>
      </w:r>
      <w:r w:rsidR="00DE7585" w:rsidRPr="0094561D">
        <w:rPr>
          <w:rFonts w:asciiTheme="minorHAnsi" w:eastAsia="Arial" w:hAnsiTheme="minorHAnsi" w:cstheme="minorHAnsi"/>
          <w:color w:val="auto"/>
          <w:sz w:val="21"/>
          <w:szCs w:val="21"/>
        </w:rPr>
        <w:t>is</w:t>
      </w:r>
      <w:r w:rsidRPr="0094561D">
        <w:rPr>
          <w:rFonts w:asciiTheme="minorHAnsi" w:eastAsia="Arial" w:hAnsiTheme="minorHAnsi" w:cstheme="minorHAnsi"/>
          <w:color w:val="auto"/>
          <w:sz w:val="21"/>
          <w:szCs w:val="21"/>
        </w:rPr>
        <w:t xml:space="preserve"> information, we </w:t>
      </w:r>
      <w:r w:rsidR="000459D8" w:rsidRPr="0094561D">
        <w:rPr>
          <w:rFonts w:asciiTheme="minorHAnsi" w:eastAsia="Arial" w:hAnsiTheme="minorHAnsi" w:cstheme="minorHAnsi"/>
          <w:color w:val="auto"/>
          <w:sz w:val="21"/>
          <w:szCs w:val="21"/>
        </w:rPr>
        <w:t xml:space="preserve">would like to remind </w:t>
      </w:r>
      <w:r w:rsidRPr="0094561D">
        <w:rPr>
          <w:rFonts w:asciiTheme="minorHAnsi" w:eastAsia="Arial" w:hAnsiTheme="minorHAnsi" w:cstheme="minorHAnsi"/>
          <w:color w:val="auto"/>
          <w:sz w:val="21"/>
          <w:szCs w:val="21"/>
        </w:rPr>
        <w:t xml:space="preserve">you that </w:t>
      </w:r>
      <w:r w:rsidR="006A1660" w:rsidRPr="0094561D">
        <w:rPr>
          <w:rFonts w:asciiTheme="minorHAnsi" w:eastAsia="Arial" w:hAnsiTheme="minorHAnsi" w:cstheme="minorHAnsi"/>
          <w:color w:val="auto"/>
          <w:sz w:val="21"/>
          <w:szCs w:val="21"/>
        </w:rPr>
        <w:t>we are</w:t>
      </w:r>
      <w:r w:rsidRPr="0094561D">
        <w:rPr>
          <w:rFonts w:asciiTheme="minorHAnsi" w:eastAsia="Arial" w:hAnsiTheme="minorHAnsi" w:cstheme="minorHAnsi"/>
          <w:color w:val="auto"/>
          <w:sz w:val="21"/>
          <w:szCs w:val="21"/>
        </w:rPr>
        <w:t xml:space="preserve"> registered with the U.S. Securities and Exchange Commission (SEC) as a broker</w:t>
      </w:r>
      <w:r w:rsidR="00611AD4" w:rsidRPr="0094561D">
        <w:rPr>
          <w:rFonts w:asciiTheme="minorHAnsi" w:eastAsia="Arial" w:hAnsiTheme="minorHAnsi" w:cstheme="minorHAnsi"/>
          <w:color w:val="auto"/>
          <w:sz w:val="21"/>
          <w:szCs w:val="21"/>
        </w:rPr>
        <w:t>-</w:t>
      </w:r>
      <w:r w:rsidRPr="0094561D">
        <w:rPr>
          <w:rFonts w:asciiTheme="minorHAnsi" w:eastAsia="Arial" w:hAnsiTheme="minorHAnsi" w:cstheme="minorHAnsi"/>
          <w:color w:val="auto"/>
          <w:sz w:val="21"/>
          <w:szCs w:val="21"/>
        </w:rPr>
        <w:t>dealer</w:t>
      </w:r>
      <w:r w:rsidR="00611AD4" w:rsidRPr="0094561D">
        <w:rPr>
          <w:rFonts w:asciiTheme="minorHAnsi" w:eastAsia="Arial" w:hAnsiTheme="minorHAnsi" w:cstheme="minorHAnsi"/>
          <w:color w:val="auto"/>
          <w:sz w:val="21"/>
          <w:szCs w:val="21"/>
        </w:rPr>
        <w:t xml:space="preserve"> and investment </w:t>
      </w:r>
      <w:r w:rsidR="002B52AC" w:rsidRPr="0094561D">
        <w:rPr>
          <w:rFonts w:asciiTheme="minorHAnsi" w:eastAsia="Arial" w:hAnsiTheme="minorHAnsi" w:cstheme="minorHAnsi"/>
          <w:color w:val="auto"/>
          <w:sz w:val="21"/>
          <w:szCs w:val="21"/>
        </w:rPr>
        <w:t>adviser and</w:t>
      </w:r>
      <w:r w:rsidR="00817A35" w:rsidRPr="0094561D">
        <w:rPr>
          <w:rFonts w:asciiTheme="minorHAnsi" w:eastAsia="Arial" w:hAnsiTheme="minorHAnsi" w:cstheme="minorHAnsi"/>
          <w:color w:val="auto"/>
          <w:sz w:val="21"/>
          <w:szCs w:val="21"/>
        </w:rPr>
        <w:t xml:space="preserve"> </w:t>
      </w:r>
      <w:r w:rsidR="00611AD4" w:rsidRPr="0094561D">
        <w:rPr>
          <w:rFonts w:asciiTheme="minorHAnsi" w:eastAsia="Arial" w:hAnsiTheme="minorHAnsi" w:cstheme="minorHAnsi"/>
          <w:color w:val="auto"/>
          <w:sz w:val="21"/>
          <w:szCs w:val="21"/>
        </w:rPr>
        <w:t>are members of the Financial Industry Regulatory Authority</w:t>
      </w:r>
      <w:r w:rsidR="00817A35" w:rsidRPr="0094561D">
        <w:rPr>
          <w:rFonts w:asciiTheme="minorHAnsi" w:eastAsia="Arial" w:hAnsiTheme="minorHAnsi" w:cstheme="minorHAnsi"/>
          <w:color w:val="auto"/>
          <w:sz w:val="21"/>
          <w:szCs w:val="21"/>
        </w:rPr>
        <w:t xml:space="preserve"> </w:t>
      </w:r>
      <w:r w:rsidR="00611AD4" w:rsidRPr="0094561D">
        <w:rPr>
          <w:rFonts w:asciiTheme="minorHAnsi" w:eastAsia="Arial" w:hAnsiTheme="minorHAnsi" w:cstheme="minorHAnsi"/>
          <w:color w:val="auto"/>
          <w:sz w:val="21"/>
          <w:szCs w:val="21"/>
        </w:rPr>
        <w:t>(</w:t>
      </w:r>
      <w:r w:rsidR="00817A35" w:rsidRPr="0094561D">
        <w:rPr>
          <w:rFonts w:asciiTheme="minorHAnsi" w:eastAsia="Arial" w:hAnsiTheme="minorHAnsi" w:cstheme="minorHAnsi"/>
          <w:color w:val="auto"/>
          <w:sz w:val="21"/>
          <w:szCs w:val="21"/>
        </w:rPr>
        <w:t>FINRA</w:t>
      </w:r>
      <w:r w:rsidR="00611AD4" w:rsidRPr="0094561D">
        <w:rPr>
          <w:rFonts w:asciiTheme="minorHAnsi" w:eastAsia="Arial" w:hAnsiTheme="minorHAnsi" w:cstheme="minorHAnsi"/>
          <w:color w:val="auto"/>
          <w:sz w:val="21"/>
          <w:szCs w:val="21"/>
        </w:rPr>
        <w:t xml:space="preserve">) and </w:t>
      </w:r>
      <w:r w:rsidR="00817A35" w:rsidRPr="0094561D">
        <w:rPr>
          <w:rFonts w:asciiTheme="minorHAnsi" w:eastAsia="Arial" w:hAnsiTheme="minorHAnsi" w:cstheme="minorHAnsi"/>
          <w:color w:val="auto"/>
          <w:sz w:val="21"/>
          <w:szCs w:val="21"/>
        </w:rPr>
        <w:t>SIPC,</w:t>
      </w:r>
      <w:r w:rsidRPr="0094561D">
        <w:rPr>
          <w:rFonts w:asciiTheme="minorHAnsi" w:eastAsia="Arial" w:hAnsiTheme="minorHAnsi" w:cstheme="minorHAnsi"/>
          <w:color w:val="auto"/>
          <w:sz w:val="21"/>
          <w:szCs w:val="21"/>
        </w:rPr>
        <w:t xml:space="preserve"> providing brokerage services</w:t>
      </w:r>
      <w:r w:rsidR="00B34759" w:rsidRPr="0094561D">
        <w:rPr>
          <w:rFonts w:asciiTheme="minorHAnsi" w:eastAsia="Arial" w:hAnsiTheme="minorHAnsi" w:cstheme="minorHAnsi"/>
          <w:color w:val="auto"/>
          <w:sz w:val="21"/>
          <w:szCs w:val="21"/>
        </w:rPr>
        <w:t xml:space="preserve">. </w:t>
      </w:r>
      <w:r w:rsidRPr="0094561D">
        <w:rPr>
          <w:rFonts w:asciiTheme="minorHAnsi" w:eastAsia="Arial" w:hAnsiTheme="minorHAnsi" w:cstheme="minorHAnsi"/>
          <w:b/>
          <w:bCs/>
          <w:color w:val="auto"/>
          <w:sz w:val="21"/>
          <w:szCs w:val="21"/>
        </w:rPr>
        <w:t>Our brokerage services are the focus of this guide.</w:t>
      </w:r>
      <w:r w:rsidRPr="0094561D">
        <w:rPr>
          <w:rFonts w:asciiTheme="minorHAnsi" w:eastAsia="Arial" w:hAnsiTheme="minorHAnsi" w:cstheme="minorHAnsi"/>
          <w:color w:val="auto"/>
          <w:sz w:val="21"/>
          <w:szCs w:val="21"/>
        </w:rPr>
        <w:t xml:space="preserve"> </w:t>
      </w:r>
    </w:p>
    <w:p w14:paraId="459D1B26" w14:textId="77777777" w:rsidR="002B52AC" w:rsidRPr="0094561D" w:rsidRDefault="002B52AC" w:rsidP="00412143">
      <w:pPr>
        <w:pStyle w:val="Default0"/>
        <w:ind w:left="144"/>
        <w:jc w:val="both"/>
        <w:rPr>
          <w:rFonts w:asciiTheme="minorHAnsi" w:eastAsia="Arial" w:hAnsiTheme="minorHAnsi" w:cstheme="minorHAnsi"/>
          <w:color w:val="auto"/>
          <w:sz w:val="21"/>
          <w:szCs w:val="21"/>
        </w:rPr>
      </w:pPr>
    </w:p>
    <w:p w14:paraId="5A74E3E8" w14:textId="34B78BDB" w:rsidR="00B34759" w:rsidRPr="0094561D" w:rsidRDefault="00611AD4" w:rsidP="00412143">
      <w:pPr>
        <w:pStyle w:val="Default0"/>
        <w:ind w:left="144"/>
        <w:jc w:val="both"/>
        <w:rPr>
          <w:rFonts w:asciiTheme="minorHAnsi" w:eastAsia="Arial" w:hAnsiTheme="minorHAnsi" w:cstheme="minorHAnsi"/>
          <w:color w:val="auto"/>
          <w:sz w:val="21"/>
          <w:szCs w:val="21"/>
        </w:rPr>
      </w:pPr>
      <w:r w:rsidRPr="0094561D">
        <w:rPr>
          <w:rFonts w:asciiTheme="minorHAnsi" w:eastAsia="Arial" w:hAnsiTheme="minorHAnsi" w:cstheme="minorHAnsi"/>
          <w:color w:val="auto"/>
          <w:sz w:val="21"/>
          <w:szCs w:val="21"/>
        </w:rPr>
        <w:t xml:space="preserve">For more information on our investment advisory services and how they differ from our brokerage services, please review the </w:t>
      </w:r>
      <w:r w:rsidR="00B34759" w:rsidRPr="0094561D">
        <w:rPr>
          <w:rFonts w:asciiTheme="minorHAnsi" w:eastAsia="Arial" w:hAnsiTheme="minorHAnsi" w:cstheme="minorHAnsi"/>
          <w:color w:val="auto"/>
          <w:sz w:val="21"/>
          <w:szCs w:val="21"/>
        </w:rPr>
        <w:t>Customer Relationship Summary (or Form CRS)</w:t>
      </w:r>
      <w:r w:rsidRPr="0094561D">
        <w:rPr>
          <w:rFonts w:asciiTheme="minorHAnsi" w:eastAsia="Arial" w:hAnsiTheme="minorHAnsi" w:cstheme="minorHAnsi"/>
          <w:color w:val="auto"/>
          <w:sz w:val="21"/>
          <w:szCs w:val="21"/>
        </w:rPr>
        <w:t xml:space="preserve"> available at </w:t>
      </w:r>
      <w:r w:rsidR="009F0E13">
        <w:rPr>
          <w:rStyle w:val="Hyperlink"/>
          <w:sz w:val="22"/>
          <w:szCs w:val="22"/>
        </w:rPr>
        <w:fldChar w:fldCharType="begin"/>
      </w:r>
      <w:r w:rsidR="009F0E13">
        <w:rPr>
          <w:rStyle w:val="Hyperlink"/>
          <w:sz w:val="22"/>
          <w:szCs w:val="22"/>
        </w:rPr>
        <w:instrText xml:space="preserve"> HYPERLINK "</w:instrText>
      </w:r>
      <w:commentRangeStart w:id="0"/>
      <w:r w:rsidR="009F0E13" w:rsidRPr="009F0E13">
        <w:rPr>
          <w:rStyle w:val="Hyperlink"/>
          <w:sz w:val="22"/>
          <w:szCs w:val="22"/>
        </w:rPr>
        <w:instrText>http://www.tigress.com/tigress/index.cfm/our-services/disclosures/</w:instrText>
      </w:r>
      <w:commentRangeEnd w:id="0"/>
      <w:r w:rsidR="009F0E13">
        <w:rPr>
          <w:rStyle w:val="Hyperlink"/>
          <w:sz w:val="22"/>
          <w:szCs w:val="22"/>
        </w:rPr>
        <w:instrText xml:space="preserve">" </w:instrText>
      </w:r>
      <w:r w:rsidR="009F0E13">
        <w:rPr>
          <w:rStyle w:val="Hyperlink"/>
          <w:sz w:val="22"/>
          <w:szCs w:val="22"/>
        </w:rPr>
        <w:fldChar w:fldCharType="separate"/>
      </w:r>
      <w:r w:rsidR="009F0E13" w:rsidRPr="0038146C">
        <w:rPr>
          <w:rStyle w:val="Hyperlink"/>
          <w:sz w:val="22"/>
          <w:szCs w:val="22"/>
        </w:rPr>
        <w:t>http://www.tigress.com/tigress/index.cfm/our-services/disclosures/</w:t>
      </w:r>
      <w:r w:rsidR="009F0E13">
        <w:rPr>
          <w:rStyle w:val="Hyperlink"/>
          <w:sz w:val="22"/>
          <w:szCs w:val="22"/>
        </w:rPr>
        <w:fldChar w:fldCharType="end"/>
      </w:r>
      <w:r w:rsidR="00B76E7E">
        <w:rPr>
          <w:rStyle w:val="CommentReference"/>
          <w:rFonts w:ascii="Arial" w:eastAsia="Arial" w:hAnsi="Arial" w:cs="Arial"/>
          <w:color w:val="auto"/>
        </w:rPr>
        <w:commentReference w:id="0"/>
      </w:r>
      <w:r w:rsidRPr="00BC37B1">
        <w:rPr>
          <w:rFonts w:asciiTheme="minorHAnsi" w:eastAsia="Arial" w:hAnsiTheme="minorHAnsi" w:cstheme="minorHAnsi"/>
          <w:color w:val="auto"/>
          <w:sz w:val="22"/>
          <w:szCs w:val="22"/>
        </w:rPr>
        <w:t>.</w:t>
      </w:r>
      <w:r w:rsidR="00B34759" w:rsidRPr="0094561D">
        <w:rPr>
          <w:rFonts w:asciiTheme="minorHAnsi" w:eastAsia="Arial" w:hAnsiTheme="minorHAnsi" w:cstheme="minorHAnsi"/>
          <w:color w:val="auto"/>
          <w:sz w:val="21"/>
          <w:szCs w:val="21"/>
        </w:rPr>
        <w:t xml:space="preserve"> </w:t>
      </w:r>
      <w:r w:rsidRPr="0094561D">
        <w:rPr>
          <w:rFonts w:asciiTheme="minorHAnsi" w:eastAsia="Arial" w:hAnsiTheme="minorHAnsi" w:cstheme="minorHAnsi"/>
          <w:color w:val="auto"/>
          <w:sz w:val="21"/>
          <w:szCs w:val="21"/>
        </w:rPr>
        <w:t>Our</w:t>
      </w:r>
      <w:r w:rsidR="00B34759" w:rsidRPr="0094561D">
        <w:rPr>
          <w:rFonts w:asciiTheme="minorHAnsi" w:eastAsia="Arial" w:hAnsiTheme="minorHAnsi" w:cstheme="minorHAnsi"/>
          <w:color w:val="auto"/>
          <w:sz w:val="21"/>
          <w:szCs w:val="21"/>
        </w:rPr>
        <w:t xml:space="preserve"> Form CRS contains important information about the types of services we offer</w:t>
      </w:r>
      <w:r w:rsidRPr="0094561D">
        <w:rPr>
          <w:rFonts w:asciiTheme="minorHAnsi" w:eastAsia="Arial" w:hAnsiTheme="minorHAnsi" w:cstheme="minorHAnsi"/>
          <w:color w:val="auto"/>
          <w:sz w:val="21"/>
          <w:szCs w:val="21"/>
        </w:rPr>
        <w:t>, both brokerage and investment advisory,</w:t>
      </w:r>
      <w:r w:rsidR="00B34759" w:rsidRPr="0094561D">
        <w:rPr>
          <w:rFonts w:asciiTheme="minorHAnsi" w:eastAsia="Arial" w:hAnsiTheme="minorHAnsi" w:cstheme="minorHAnsi"/>
          <w:color w:val="auto"/>
          <w:sz w:val="21"/>
          <w:szCs w:val="21"/>
        </w:rPr>
        <w:t xml:space="preserve"> along with general information related to compensation, conflicts of interest, disciplinary action and other reportable legal information.  </w:t>
      </w:r>
    </w:p>
    <w:p w14:paraId="515830B1" w14:textId="77777777" w:rsidR="00996D17" w:rsidRPr="0094561D" w:rsidRDefault="00996D17" w:rsidP="00412143">
      <w:pPr>
        <w:pStyle w:val="BodyText"/>
        <w:ind w:left="144" w:right="864"/>
        <w:rPr>
          <w:rFonts w:asciiTheme="minorHAnsi" w:hAnsiTheme="minorHAnsi" w:cstheme="minorHAnsi"/>
          <w:sz w:val="21"/>
          <w:szCs w:val="21"/>
        </w:rPr>
      </w:pPr>
    </w:p>
    <w:p w14:paraId="3F50E858" w14:textId="77777777" w:rsidR="009D4CB2" w:rsidRPr="0094561D" w:rsidRDefault="00AE0D87" w:rsidP="00412143">
      <w:pPr>
        <w:pStyle w:val="BodyText"/>
        <w:ind w:left="144" w:right="864"/>
        <w:rPr>
          <w:rFonts w:asciiTheme="minorHAnsi" w:hAnsiTheme="minorHAnsi" w:cstheme="minorHAnsi"/>
          <w:sz w:val="21"/>
          <w:szCs w:val="21"/>
        </w:rPr>
      </w:pPr>
      <w:r w:rsidRPr="0094561D">
        <w:rPr>
          <w:rFonts w:asciiTheme="minorHAnsi" w:hAnsiTheme="minorHAnsi" w:cstheme="minorHAnsi"/>
          <w:sz w:val="21"/>
          <w:szCs w:val="21"/>
        </w:rPr>
        <w:t>Pl</w:t>
      </w:r>
      <w:r w:rsidR="00DB62F6" w:rsidRPr="0094561D">
        <w:rPr>
          <w:rFonts w:asciiTheme="minorHAnsi" w:hAnsiTheme="minorHAnsi" w:cstheme="minorHAnsi"/>
          <w:sz w:val="21"/>
          <w:szCs w:val="21"/>
        </w:rPr>
        <w:t>ease carefully review and consider the information in each section below</w:t>
      </w:r>
      <w:r w:rsidRPr="0094561D">
        <w:rPr>
          <w:rFonts w:asciiTheme="minorHAnsi" w:hAnsiTheme="minorHAnsi" w:cstheme="minorHAnsi"/>
          <w:sz w:val="21"/>
          <w:szCs w:val="21"/>
        </w:rPr>
        <w:t xml:space="preserve">. </w:t>
      </w:r>
    </w:p>
    <w:sdt>
      <w:sdtPr>
        <w:rPr>
          <w:rFonts w:asciiTheme="minorHAnsi" w:eastAsia="Arial" w:hAnsiTheme="minorHAnsi" w:cstheme="minorHAnsi"/>
          <w:color w:val="auto"/>
          <w:sz w:val="22"/>
          <w:szCs w:val="22"/>
        </w:rPr>
        <w:id w:val="-971284499"/>
        <w:docPartObj>
          <w:docPartGallery w:val="Table of Contents"/>
          <w:docPartUnique/>
        </w:docPartObj>
      </w:sdtPr>
      <w:sdtEndPr>
        <w:rPr>
          <w:b/>
          <w:bCs/>
          <w:noProof/>
        </w:rPr>
      </w:sdtEndPr>
      <w:sdtContent>
        <w:p w14:paraId="57A627D3" w14:textId="77777777" w:rsidR="002E1126" w:rsidRPr="00651223" w:rsidRDefault="002E1126">
          <w:pPr>
            <w:pStyle w:val="TOCHeading"/>
            <w:rPr>
              <w:rFonts w:asciiTheme="minorHAnsi" w:hAnsiTheme="minorHAnsi" w:cstheme="minorHAnsi"/>
              <w:sz w:val="22"/>
              <w:szCs w:val="22"/>
            </w:rPr>
          </w:pPr>
          <w:r w:rsidRPr="00651223">
            <w:rPr>
              <w:rFonts w:asciiTheme="minorHAnsi" w:hAnsiTheme="minorHAnsi" w:cstheme="minorHAnsi"/>
              <w:sz w:val="22"/>
              <w:szCs w:val="22"/>
            </w:rPr>
            <w:t>Contents</w:t>
          </w:r>
        </w:p>
        <w:p w14:paraId="1C529DCD" w14:textId="00A3BF24" w:rsidR="002E1126" w:rsidRPr="00651223" w:rsidRDefault="002E1126">
          <w:pPr>
            <w:pStyle w:val="TOC1"/>
            <w:tabs>
              <w:tab w:val="right" w:leader="dot" w:pos="10790"/>
            </w:tabs>
            <w:rPr>
              <w:rFonts w:asciiTheme="minorHAnsi" w:hAnsiTheme="minorHAnsi" w:cstheme="minorHAnsi"/>
              <w:noProof/>
            </w:rPr>
          </w:pPr>
          <w:r w:rsidRPr="00651223">
            <w:rPr>
              <w:rFonts w:asciiTheme="minorHAnsi" w:hAnsiTheme="minorHAnsi" w:cstheme="minorHAnsi"/>
            </w:rPr>
            <w:fldChar w:fldCharType="begin"/>
          </w:r>
          <w:r w:rsidRPr="00651223">
            <w:rPr>
              <w:rFonts w:asciiTheme="minorHAnsi" w:hAnsiTheme="minorHAnsi" w:cstheme="minorHAnsi"/>
            </w:rPr>
            <w:instrText xml:space="preserve"> TOC \o "1-3" \h \z \u </w:instrText>
          </w:r>
          <w:r w:rsidRPr="00651223">
            <w:rPr>
              <w:rFonts w:asciiTheme="minorHAnsi" w:hAnsiTheme="minorHAnsi" w:cstheme="minorHAnsi"/>
            </w:rPr>
            <w:fldChar w:fldCharType="separate"/>
          </w:r>
          <w:hyperlink w:anchor="_Toc38290465" w:history="1">
            <w:r w:rsidRPr="00651223">
              <w:rPr>
                <w:rStyle w:val="Hyperlink"/>
                <w:rFonts w:asciiTheme="minorHAnsi" w:hAnsiTheme="minorHAnsi" w:cstheme="minorHAnsi"/>
                <w:noProof/>
              </w:rPr>
              <w:t xml:space="preserve">Brokerage </w:t>
            </w:r>
            <w:r w:rsidR="007F6981" w:rsidRPr="00651223">
              <w:rPr>
                <w:rStyle w:val="Hyperlink"/>
                <w:rFonts w:asciiTheme="minorHAnsi" w:hAnsiTheme="minorHAnsi" w:cstheme="minorHAnsi"/>
                <w:noProof/>
              </w:rPr>
              <w:t>S</w:t>
            </w:r>
            <w:r w:rsidRPr="00651223">
              <w:rPr>
                <w:rStyle w:val="Hyperlink"/>
                <w:rFonts w:asciiTheme="minorHAnsi" w:hAnsiTheme="minorHAnsi" w:cstheme="minorHAnsi"/>
                <w:noProof/>
              </w:rPr>
              <w:t>ervices</w:t>
            </w:r>
            <w:r w:rsidRPr="00651223">
              <w:rPr>
                <w:rFonts w:asciiTheme="minorHAnsi" w:hAnsiTheme="minorHAnsi" w:cstheme="minorHAnsi"/>
                <w:noProof/>
                <w:webHidden/>
              </w:rPr>
              <w:tab/>
            </w:r>
            <w:r w:rsidR="008C64FE" w:rsidRPr="00651223">
              <w:rPr>
                <w:rFonts w:asciiTheme="minorHAnsi" w:hAnsiTheme="minorHAnsi" w:cstheme="minorHAnsi"/>
                <w:noProof/>
                <w:webHidden/>
              </w:rPr>
              <w:t>2</w:t>
            </w:r>
          </w:hyperlink>
        </w:p>
        <w:p w14:paraId="287C7447" w14:textId="3E3E8C03" w:rsidR="002E1126" w:rsidRPr="00651223" w:rsidRDefault="00644FF9">
          <w:pPr>
            <w:pStyle w:val="TOC1"/>
            <w:tabs>
              <w:tab w:val="right" w:leader="dot" w:pos="10790"/>
            </w:tabs>
            <w:rPr>
              <w:rFonts w:asciiTheme="minorHAnsi" w:hAnsiTheme="minorHAnsi" w:cstheme="minorHAnsi"/>
              <w:noProof/>
            </w:rPr>
          </w:pPr>
          <w:hyperlink w:anchor="_Toc38290469" w:history="1">
            <w:r w:rsidR="002E1126" w:rsidRPr="00651223">
              <w:rPr>
                <w:rStyle w:val="Hyperlink"/>
                <w:rFonts w:asciiTheme="minorHAnsi" w:hAnsiTheme="minorHAnsi" w:cstheme="minorHAnsi"/>
                <w:noProof/>
              </w:rPr>
              <w:t xml:space="preserve">Brokerage </w:t>
            </w:r>
            <w:r w:rsidR="007F6981" w:rsidRPr="00651223">
              <w:rPr>
                <w:rStyle w:val="Hyperlink"/>
                <w:rFonts w:asciiTheme="minorHAnsi" w:hAnsiTheme="minorHAnsi" w:cstheme="minorHAnsi"/>
                <w:noProof/>
              </w:rPr>
              <w:t>S</w:t>
            </w:r>
            <w:r w:rsidR="002E1126" w:rsidRPr="00651223">
              <w:rPr>
                <w:rStyle w:val="Hyperlink"/>
                <w:rFonts w:asciiTheme="minorHAnsi" w:hAnsiTheme="minorHAnsi" w:cstheme="minorHAnsi"/>
                <w:noProof/>
              </w:rPr>
              <w:t xml:space="preserve">ervice </w:t>
            </w:r>
            <w:r w:rsidR="007F6981" w:rsidRPr="00651223">
              <w:rPr>
                <w:rStyle w:val="Hyperlink"/>
                <w:rFonts w:asciiTheme="minorHAnsi" w:hAnsiTheme="minorHAnsi" w:cstheme="minorHAnsi"/>
                <w:noProof/>
              </w:rPr>
              <w:t>P</w:t>
            </w:r>
            <w:r w:rsidR="002E1126" w:rsidRPr="00651223">
              <w:rPr>
                <w:rStyle w:val="Hyperlink"/>
                <w:rFonts w:asciiTheme="minorHAnsi" w:hAnsiTheme="minorHAnsi" w:cstheme="minorHAnsi"/>
                <w:noProof/>
              </w:rPr>
              <w:t>roducts</w:t>
            </w:r>
            <w:r w:rsidR="002E1126" w:rsidRPr="00651223">
              <w:rPr>
                <w:rFonts w:asciiTheme="minorHAnsi" w:hAnsiTheme="minorHAnsi" w:cstheme="minorHAnsi"/>
                <w:noProof/>
                <w:webHidden/>
              </w:rPr>
              <w:tab/>
            </w:r>
            <w:r w:rsidR="005F0AE0">
              <w:rPr>
                <w:rFonts w:asciiTheme="minorHAnsi" w:hAnsiTheme="minorHAnsi" w:cstheme="minorHAnsi"/>
                <w:noProof/>
                <w:webHidden/>
              </w:rPr>
              <w:t>8</w:t>
            </w:r>
          </w:hyperlink>
        </w:p>
        <w:p w14:paraId="4985811D" w14:textId="682CAAFC" w:rsidR="002E1126" w:rsidRPr="00651223" w:rsidRDefault="00644FF9">
          <w:pPr>
            <w:pStyle w:val="TOC1"/>
            <w:tabs>
              <w:tab w:val="right" w:leader="dot" w:pos="10790"/>
            </w:tabs>
            <w:rPr>
              <w:rFonts w:asciiTheme="minorHAnsi" w:hAnsiTheme="minorHAnsi" w:cstheme="minorHAnsi"/>
              <w:noProof/>
            </w:rPr>
          </w:pPr>
          <w:hyperlink w:anchor="_Toc38290470" w:history="1">
            <w:r w:rsidR="002E1126" w:rsidRPr="00651223">
              <w:rPr>
                <w:rStyle w:val="Hyperlink"/>
                <w:rFonts w:asciiTheme="minorHAnsi" w:hAnsiTheme="minorHAnsi" w:cstheme="minorHAnsi"/>
                <w:noProof/>
              </w:rPr>
              <w:t xml:space="preserve">Brokerage </w:t>
            </w:r>
            <w:r w:rsidR="007F6981" w:rsidRPr="00651223">
              <w:rPr>
                <w:rStyle w:val="Hyperlink"/>
                <w:rFonts w:asciiTheme="minorHAnsi" w:hAnsiTheme="minorHAnsi" w:cstheme="minorHAnsi"/>
                <w:noProof/>
              </w:rPr>
              <w:t>F</w:t>
            </w:r>
            <w:r w:rsidR="002E1126" w:rsidRPr="00651223">
              <w:rPr>
                <w:rStyle w:val="Hyperlink"/>
                <w:rFonts w:asciiTheme="minorHAnsi" w:hAnsiTheme="minorHAnsi" w:cstheme="minorHAnsi"/>
                <w:noProof/>
              </w:rPr>
              <w:t xml:space="preserve">ees and </w:t>
            </w:r>
            <w:r w:rsidR="007F6981" w:rsidRPr="00651223">
              <w:rPr>
                <w:rStyle w:val="Hyperlink"/>
                <w:rFonts w:asciiTheme="minorHAnsi" w:hAnsiTheme="minorHAnsi" w:cstheme="minorHAnsi"/>
                <w:noProof/>
              </w:rPr>
              <w:t>O</w:t>
            </w:r>
            <w:r w:rsidR="002E1126" w:rsidRPr="00651223">
              <w:rPr>
                <w:rStyle w:val="Hyperlink"/>
                <w:rFonts w:asciiTheme="minorHAnsi" w:hAnsiTheme="minorHAnsi" w:cstheme="minorHAnsi"/>
                <w:noProof/>
              </w:rPr>
              <w:t xml:space="preserve">ur </w:t>
            </w:r>
            <w:r w:rsidR="007F6981" w:rsidRPr="00651223">
              <w:rPr>
                <w:rStyle w:val="Hyperlink"/>
                <w:rFonts w:asciiTheme="minorHAnsi" w:hAnsiTheme="minorHAnsi" w:cstheme="minorHAnsi"/>
                <w:noProof/>
              </w:rPr>
              <w:t>C</w:t>
            </w:r>
            <w:r w:rsidR="002E1126" w:rsidRPr="00651223">
              <w:rPr>
                <w:rStyle w:val="Hyperlink"/>
                <w:rFonts w:asciiTheme="minorHAnsi" w:hAnsiTheme="minorHAnsi" w:cstheme="minorHAnsi"/>
                <w:noProof/>
              </w:rPr>
              <w:t>ompensation</w:t>
            </w:r>
            <w:r w:rsidR="002E1126" w:rsidRPr="00651223">
              <w:rPr>
                <w:rFonts w:asciiTheme="minorHAnsi" w:hAnsiTheme="minorHAnsi" w:cstheme="minorHAnsi"/>
                <w:noProof/>
                <w:webHidden/>
              </w:rPr>
              <w:tab/>
            </w:r>
            <w:r w:rsidR="002C06F4" w:rsidRPr="00651223">
              <w:rPr>
                <w:rFonts w:asciiTheme="minorHAnsi" w:hAnsiTheme="minorHAnsi" w:cstheme="minorHAnsi"/>
                <w:noProof/>
                <w:webHidden/>
              </w:rPr>
              <w:t>1</w:t>
            </w:r>
          </w:hyperlink>
          <w:r w:rsidR="005F0AE0">
            <w:rPr>
              <w:rFonts w:asciiTheme="minorHAnsi" w:hAnsiTheme="minorHAnsi" w:cstheme="minorHAnsi"/>
              <w:noProof/>
            </w:rPr>
            <w:t>0</w:t>
          </w:r>
        </w:p>
        <w:p w14:paraId="21B70DA7" w14:textId="1E4B68F8" w:rsidR="002E1126" w:rsidRPr="00651223" w:rsidRDefault="00644FF9">
          <w:pPr>
            <w:pStyle w:val="TOC1"/>
            <w:tabs>
              <w:tab w:val="right" w:leader="dot" w:pos="10790"/>
            </w:tabs>
            <w:rPr>
              <w:rFonts w:asciiTheme="minorHAnsi" w:hAnsiTheme="minorHAnsi" w:cstheme="minorHAnsi"/>
              <w:noProof/>
            </w:rPr>
          </w:pPr>
          <w:hyperlink w:anchor="_Toc38290474" w:history="1">
            <w:r w:rsidR="002E1126" w:rsidRPr="00651223">
              <w:rPr>
                <w:rStyle w:val="Hyperlink"/>
                <w:rFonts w:asciiTheme="minorHAnsi" w:hAnsiTheme="minorHAnsi" w:cstheme="minorHAnsi"/>
                <w:noProof/>
              </w:rPr>
              <w:t xml:space="preserve">Conflicts of </w:t>
            </w:r>
            <w:r w:rsidR="007F6981" w:rsidRPr="00651223">
              <w:rPr>
                <w:rStyle w:val="Hyperlink"/>
                <w:rFonts w:asciiTheme="minorHAnsi" w:hAnsiTheme="minorHAnsi" w:cstheme="minorHAnsi"/>
                <w:noProof/>
              </w:rPr>
              <w:t>I</w:t>
            </w:r>
            <w:r w:rsidR="002E1126" w:rsidRPr="00651223">
              <w:rPr>
                <w:rStyle w:val="Hyperlink"/>
                <w:rFonts w:asciiTheme="minorHAnsi" w:hAnsiTheme="minorHAnsi" w:cstheme="minorHAnsi"/>
                <w:noProof/>
              </w:rPr>
              <w:t>nterest</w:t>
            </w:r>
            <w:r w:rsidR="002E1126" w:rsidRPr="00651223">
              <w:rPr>
                <w:rFonts w:asciiTheme="minorHAnsi" w:hAnsiTheme="minorHAnsi" w:cstheme="minorHAnsi"/>
                <w:noProof/>
                <w:webHidden/>
              </w:rPr>
              <w:tab/>
            </w:r>
            <w:r w:rsidR="007F6981" w:rsidRPr="00651223">
              <w:rPr>
                <w:rFonts w:asciiTheme="minorHAnsi" w:hAnsiTheme="minorHAnsi" w:cstheme="minorHAnsi"/>
                <w:noProof/>
                <w:webHidden/>
              </w:rPr>
              <w:t>1</w:t>
            </w:r>
            <w:r w:rsidR="005F0AE0">
              <w:rPr>
                <w:rFonts w:asciiTheme="minorHAnsi" w:hAnsiTheme="minorHAnsi" w:cstheme="minorHAnsi"/>
                <w:noProof/>
                <w:webHidden/>
              </w:rPr>
              <w:t>6</w:t>
            </w:r>
          </w:hyperlink>
        </w:p>
        <w:p w14:paraId="1D3BA33E" w14:textId="71B41091" w:rsidR="002C06F4" w:rsidRPr="00651223" w:rsidRDefault="002C06F4" w:rsidP="002C06F4">
          <w:pPr>
            <w:spacing w:after="120"/>
            <w:rPr>
              <w:rFonts w:asciiTheme="minorHAnsi" w:hAnsiTheme="minorHAnsi" w:cstheme="minorHAnsi"/>
            </w:rPr>
          </w:pPr>
          <w:r w:rsidRPr="00651223">
            <w:rPr>
              <w:rFonts w:asciiTheme="minorHAnsi" w:hAnsiTheme="minorHAnsi" w:cstheme="minorHAnsi"/>
            </w:rPr>
            <w:t>Other Material Facts ………………………………………………………………………………………………………………</w:t>
          </w:r>
          <w:r w:rsidR="00AD7B19">
            <w:rPr>
              <w:rFonts w:asciiTheme="minorHAnsi" w:hAnsiTheme="minorHAnsi" w:cstheme="minorHAnsi"/>
            </w:rPr>
            <w:t>…</w:t>
          </w:r>
          <w:r w:rsidRPr="00651223">
            <w:rPr>
              <w:rFonts w:asciiTheme="minorHAnsi" w:hAnsiTheme="minorHAnsi" w:cstheme="minorHAnsi"/>
            </w:rPr>
            <w:t>………….</w:t>
          </w:r>
          <w:r w:rsidR="00AD7B19">
            <w:rPr>
              <w:rFonts w:asciiTheme="minorHAnsi" w:hAnsiTheme="minorHAnsi" w:cstheme="minorHAnsi"/>
            </w:rPr>
            <w:t xml:space="preserve"> </w:t>
          </w:r>
          <w:r w:rsidRPr="00651223">
            <w:rPr>
              <w:rFonts w:asciiTheme="minorHAnsi" w:hAnsiTheme="minorHAnsi" w:cstheme="minorHAnsi"/>
            </w:rPr>
            <w:t>2</w:t>
          </w:r>
          <w:r w:rsidR="005F0AE0">
            <w:rPr>
              <w:rFonts w:asciiTheme="minorHAnsi" w:hAnsiTheme="minorHAnsi" w:cstheme="minorHAnsi"/>
            </w:rPr>
            <w:t>1</w:t>
          </w:r>
          <w:r w:rsidR="00AD7B19">
            <w:rPr>
              <w:rFonts w:asciiTheme="minorHAnsi" w:hAnsiTheme="minorHAnsi" w:cstheme="minorHAnsi"/>
            </w:rPr>
            <w:t xml:space="preserve"> </w:t>
          </w:r>
        </w:p>
        <w:p w14:paraId="06938A86" w14:textId="451CE589" w:rsidR="002E1126" w:rsidRPr="00651223" w:rsidRDefault="00644FF9">
          <w:pPr>
            <w:pStyle w:val="TOC1"/>
            <w:tabs>
              <w:tab w:val="right" w:leader="dot" w:pos="10790"/>
            </w:tabs>
            <w:rPr>
              <w:rFonts w:asciiTheme="minorHAnsi" w:hAnsiTheme="minorHAnsi" w:cstheme="minorHAnsi"/>
              <w:noProof/>
            </w:rPr>
          </w:pPr>
          <w:hyperlink w:anchor="_Toc38290475" w:history="1">
            <w:r w:rsidR="002E1126" w:rsidRPr="00651223">
              <w:rPr>
                <w:rStyle w:val="Hyperlink"/>
                <w:rFonts w:asciiTheme="minorHAnsi" w:hAnsiTheme="minorHAnsi" w:cstheme="minorHAnsi"/>
                <w:noProof/>
              </w:rPr>
              <w:t>Additional Resources</w:t>
            </w:r>
            <w:r w:rsidR="002E1126" w:rsidRPr="00651223">
              <w:rPr>
                <w:rFonts w:asciiTheme="minorHAnsi" w:hAnsiTheme="minorHAnsi" w:cstheme="minorHAnsi"/>
                <w:noProof/>
                <w:webHidden/>
              </w:rPr>
              <w:tab/>
            </w:r>
            <w:r w:rsidR="002C06F4" w:rsidRPr="00651223">
              <w:rPr>
                <w:rFonts w:asciiTheme="minorHAnsi" w:hAnsiTheme="minorHAnsi" w:cstheme="minorHAnsi"/>
                <w:noProof/>
                <w:webHidden/>
              </w:rPr>
              <w:t>2</w:t>
            </w:r>
            <w:r w:rsidR="005F0AE0">
              <w:rPr>
                <w:rFonts w:asciiTheme="minorHAnsi" w:hAnsiTheme="minorHAnsi" w:cstheme="minorHAnsi"/>
                <w:noProof/>
                <w:webHidden/>
              </w:rPr>
              <w:t>1</w:t>
            </w:r>
          </w:hyperlink>
        </w:p>
        <w:p w14:paraId="432DFB10" w14:textId="70201A6B" w:rsidR="00A41E4A" w:rsidRPr="00651223" w:rsidRDefault="002E1126" w:rsidP="00A41E4A">
          <w:pPr>
            <w:rPr>
              <w:rFonts w:asciiTheme="minorHAnsi" w:hAnsiTheme="minorHAnsi" w:cstheme="minorHAnsi"/>
              <w:b/>
              <w:bCs/>
              <w:noProof/>
            </w:rPr>
          </w:pPr>
          <w:r w:rsidRPr="00651223">
            <w:rPr>
              <w:rFonts w:asciiTheme="minorHAnsi" w:hAnsiTheme="minorHAnsi" w:cstheme="minorHAnsi"/>
              <w:b/>
              <w:bCs/>
              <w:noProof/>
            </w:rPr>
            <w:fldChar w:fldCharType="end"/>
          </w:r>
        </w:p>
      </w:sdtContent>
    </w:sdt>
    <w:bookmarkStart w:id="1" w:name="_Toc38290465" w:displacedByCustomXml="prev"/>
    <w:p w14:paraId="7C2379BB" w14:textId="6164BA08" w:rsidR="002B52AC" w:rsidRDefault="002B52AC" w:rsidP="00600757">
      <w:pPr>
        <w:pStyle w:val="Heading1"/>
        <w:ind w:left="0"/>
        <w:rPr>
          <w:rFonts w:asciiTheme="minorHAnsi" w:hAnsiTheme="minorHAnsi" w:cstheme="minorHAnsi"/>
          <w:sz w:val="32"/>
          <w:szCs w:val="32"/>
          <w:u w:val="none"/>
        </w:rPr>
      </w:pPr>
    </w:p>
    <w:p w14:paraId="51842296" w14:textId="37275CE4" w:rsidR="00F2567D" w:rsidRPr="00611AD4" w:rsidRDefault="00447236" w:rsidP="00600757">
      <w:pPr>
        <w:pStyle w:val="Heading1"/>
        <w:ind w:left="0"/>
        <w:rPr>
          <w:rFonts w:asciiTheme="minorHAnsi" w:hAnsiTheme="minorHAnsi" w:cstheme="minorHAnsi"/>
          <w:sz w:val="32"/>
          <w:szCs w:val="32"/>
          <w:u w:val="none"/>
        </w:rPr>
      </w:pPr>
      <w:r w:rsidRPr="00611AD4">
        <w:rPr>
          <w:rFonts w:asciiTheme="minorHAnsi" w:hAnsiTheme="minorHAnsi" w:cstheme="minorHAnsi"/>
          <w:sz w:val="32"/>
          <w:szCs w:val="32"/>
          <w:u w:val="none"/>
        </w:rPr>
        <w:lastRenderedPageBreak/>
        <w:t xml:space="preserve">Brokerage </w:t>
      </w:r>
      <w:r w:rsidR="007F6981">
        <w:rPr>
          <w:rFonts w:asciiTheme="minorHAnsi" w:hAnsiTheme="minorHAnsi" w:cstheme="minorHAnsi"/>
          <w:sz w:val="32"/>
          <w:szCs w:val="32"/>
          <w:u w:val="none"/>
        </w:rPr>
        <w:t>S</w:t>
      </w:r>
      <w:r w:rsidR="00C143E7" w:rsidRPr="00611AD4">
        <w:rPr>
          <w:rFonts w:asciiTheme="minorHAnsi" w:hAnsiTheme="minorHAnsi" w:cstheme="minorHAnsi"/>
          <w:sz w:val="32"/>
          <w:szCs w:val="32"/>
          <w:u w:val="none"/>
        </w:rPr>
        <w:t>ervices</w:t>
      </w:r>
      <w:bookmarkEnd w:id="1"/>
      <w:r w:rsidR="00FE50DC" w:rsidRPr="00611AD4">
        <w:rPr>
          <w:rFonts w:asciiTheme="minorHAnsi" w:hAnsiTheme="minorHAnsi" w:cstheme="minorHAnsi"/>
          <w:sz w:val="32"/>
          <w:szCs w:val="32"/>
          <w:u w:val="none"/>
        </w:rPr>
        <w:t xml:space="preserve"> </w:t>
      </w:r>
    </w:p>
    <w:p w14:paraId="21344512" w14:textId="77777777" w:rsidR="00186422" w:rsidRPr="009C7759" w:rsidRDefault="00186422" w:rsidP="00F2567D">
      <w:pPr>
        <w:pStyle w:val="Default0"/>
        <w:ind w:left="120"/>
        <w:rPr>
          <w:rFonts w:asciiTheme="minorHAnsi" w:eastAsia="Arial" w:hAnsiTheme="minorHAnsi" w:cstheme="minorHAnsi"/>
          <w:bCs/>
          <w:color w:val="auto"/>
        </w:rPr>
      </w:pPr>
    </w:p>
    <w:p w14:paraId="3F2508AB" w14:textId="77777777" w:rsidR="00C05B84" w:rsidRPr="0094561D" w:rsidRDefault="00C05B84" w:rsidP="00412143">
      <w:pPr>
        <w:pStyle w:val="BodyText"/>
        <w:ind w:left="144"/>
        <w:jc w:val="both"/>
        <w:rPr>
          <w:rFonts w:asciiTheme="minorHAnsi" w:hAnsiTheme="minorHAnsi" w:cstheme="minorHAnsi"/>
          <w:b/>
          <w:bCs/>
          <w:sz w:val="21"/>
          <w:szCs w:val="21"/>
        </w:rPr>
      </w:pPr>
      <w:r w:rsidRPr="0094561D">
        <w:rPr>
          <w:rFonts w:asciiTheme="minorHAnsi" w:hAnsiTheme="minorHAnsi" w:cstheme="minorHAnsi"/>
          <w:b/>
          <w:bCs/>
          <w:sz w:val="21"/>
          <w:szCs w:val="21"/>
        </w:rPr>
        <w:t>What is the difference between an Investment Advisory Firm and a Broker-Dealer?</w:t>
      </w:r>
    </w:p>
    <w:p w14:paraId="0ACA6543" w14:textId="4424F3F3" w:rsidR="00C05B84" w:rsidRPr="0094561D" w:rsidRDefault="00C05B84" w:rsidP="00412143">
      <w:pPr>
        <w:pStyle w:val="BodyText"/>
        <w:ind w:left="144"/>
        <w:jc w:val="both"/>
        <w:rPr>
          <w:rFonts w:asciiTheme="minorHAnsi" w:hAnsiTheme="minorHAnsi" w:cstheme="minorHAnsi"/>
          <w:sz w:val="21"/>
          <w:szCs w:val="21"/>
        </w:rPr>
      </w:pPr>
      <w:r w:rsidRPr="0094561D">
        <w:rPr>
          <w:rFonts w:asciiTheme="minorHAnsi" w:hAnsiTheme="minorHAnsi" w:cstheme="minorHAnsi"/>
          <w:sz w:val="21"/>
          <w:szCs w:val="21"/>
        </w:rPr>
        <w:t xml:space="preserve">Broker-dealers play an important role in helping investors organize their finances, </w:t>
      </w:r>
      <w:r w:rsidR="00B31515" w:rsidRPr="0094561D">
        <w:rPr>
          <w:rFonts w:asciiTheme="minorHAnsi" w:hAnsiTheme="minorHAnsi" w:cstheme="minorHAnsi"/>
          <w:sz w:val="21"/>
          <w:szCs w:val="21"/>
        </w:rPr>
        <w:t>accumulate,</w:t>
      </w:r>
      <w:r w:rsidRPr="0094561D">
        <w:rPr>
          <w:rFonts w:asciiTheme="minorHAnsi" w:hAnsiTheme="minorHAnsi" w:cstheme="minorHAnsi"/>
          <w:sz w:val="21"/>
          <w:szCs w:val="21"/>
        </w:rPr>
        <w:t xml:space="preserve"> and manage retirement savings, and invest toward other important long-term goals, such as buying a house or funding a child’s college education. Broker-dealers offer a wide variety of brokerage (i.e., agency) services and dealer (i.e., principal) services and products to both retail and institutional customers. Specifically, the brokerage services provided to retail customers range from execution-only services to providing personalized investment advice in the form of recommendations of securities transactions or investment strategies involving securities to customers. </w:t>
      </w:r>
    </w:p>
    <w:p w14:paraId="119B665A" w14:textId="77777777" w:rsidR="00C05B84" w:rsidRPr="0094561D" w:rsidRDefault="00C05B84" w:rsidP="00412143">
      <w:pPr>
        <w:pStyle w:val="BodyText"/>
        <w:ind w:left="144"/>
        <w:jc w:val="both"/>
        <w:rPr>
          <w:rFonts w:asciiTheme="minorHAnsi" w:hAnsiTheme="minorHAnsi" w:cstheme="minorHAnsi"/>
          <w:sz w:val="21"/>
          <w:szCs w:val="21"/>
        </w:rPr>
      </w:pPr>
    </w:p>
    <w:p w14:paraId="11B24837" w14:textId="77777777" w:rsidR="00C05B84" w:rsidRPr="0094561D" w:rsidRDefault="00C05B84" w:rsidP="00412143">
      <w:pPr>
        <w:pStyle w:val="BodyText"/>
        <w:ind w:left="144"/>
        <w:jc w:val="both"/>
        <w:rPr>
          <w:rFonts w:asciiTheme="minorHAnsi" w:hAnsiTheme="minorHAnsi" w:cstheme="minorHAnsi"/>
          <w:sz w:val="21"/>
          <w:szCs w:val="21"/>
        </w:rPr>
      </w:pPr>
      <w:r w:rsidRPr="0094561D">
        <w:rPr>
          <w:rFonts w:asciiTheme="minorHAnsi" w:hAnsiTheme="minorHAnsi" w:cstheme="minorHAnsi"/>
          <w:sz w:val="21"/>
          <w:szCs w:val="21"/>
        </w:rPr>
        <w:t xml:space="preserve">Investment advisers play a similarly important, though distinct, role. As described in the Fiduciary Interpretation, investment advisers provide a wide range of services to a large variety of clients, from retail clients with limited assets and investment knowledge and experience to institutional clients with very large portfolios and substantial knowledge, experience, and analytical resources. </w:t>
      </w:r>
    </w:p>
    <w:p w14:paraId="7F891E53" w14:textId="77777777" w:rsidR="00C05B84" w:rsidRPr="0094561D" w:rsidRDefault="00C05B84" w:rsidP="00412143">
      <w:pPr>
        <w:pStyle w:val="BodyText"/>
        <w:ind w:left="144"/>
        <w:jc w:val="both"/>
        <w:rPr>
          <w:rFonts w:asciiTheme="minorHAnsi" w:hAnsiTheme="minorHAnsi" w:cstheme="minorHAnsi"/>
          <w:sz w:val="21"/>
          <w:szCs w:val="21"/>
        </w:rPr>
      </w:pPr>
    </w:p>
    <w:p w14:paraId="4A5D46C5" w14:textId="42E8F233" w:rsidR="00C05B84" w:rsidRPr="0094561D" w:rsidRDefault="00C05B84" w:rsidP="00412143">
      <w:pPr>
        <w:pStyle w:val="BodyText"/>
        <w:ind w:left="144"/>
        <w:jc w:val="both"/>
        <w:rPr>
          <w:rFonts w:asciiTheme="minorHAnsi" w:hAnsiTheme="minorHAnsi" w:cstheme="minorHAnsi"/>
          <w:sz w:val="21"/>
          <w:szCs w:val="21"/>
        </w:rPr>
      </w:pPr>
      <w:r w:rsidRPr="0094561D">
        <w:rPr>
          <w:rFonts w:asciiTheme="minorHAnsi" w:hAnsiTheme="minorHAnsi" w:cstheme="minorHAnsi"/>
          <w:sz w:val="21"/>
          <w:szCs w:val="21"/>
        </w:rPr>
        <w:t xml:space="preserve">As a general matter, broker-dealers and investment advisers have different types of relationships with investors, offer different services, and have different compensation models when providing investment recommendations or investment advisory services to customers. Broker-dealers typically provide transaction-specific recommendations and receive compensation on a transaction-by-transaction basis (such as commissions) (“transaction-based” compensation or model). A broker-dealer’s recommendation may include recommending transactions where the broker-dealer is buying securities from or selling securities to retail customers on a principal basis or recommending proprietary products, although it is noteworthy that </w:t>
      </w:r>
      <w:r w:rsidR="00B76E7E">
        <w:rPr>
          <w:rFonts w:asciiTheme="minorHAnsi" w:hAnsiTheme="minorHAnsi" w:cstheme="minorHAnsi"/>
          <w:sz w:val="21"/>
          <w:szCs w:val="21"/>
        </w:rPr>
        <w:t>Tigress</w:t>
      </w:r>
      <w:r w:rsidRPr="0094561D">
        <w:rPr>
          <w:rFonts w:asciiTheme="minorHAnsi" w:hAnsiTheme="minorHAnsi" w:cstheme="minorHAnsi"/>
          <w:sz w:val="21"/>
          <w:szCs w:val="21"/>
        </w:rPr>
        <w:t xml:space="preserve"> carries no proprietary products.  </w:t>
      </w:r>
    </w:p>
    <w:p w14:paraId="7770CDB4" w14:textId="77777777" w:rsidR="00C05B84" w:rsidRPr="0094561D" w:rsidRDefault="00C05B84" w:rsidP="00412143">
      <w:pPr>
        <w:pStyle w:val="BodyText"/>
        <w:ind w:left="144"/>
        <w:jc w:val="both"/>
        <w:rPr>
          <w:rFonts w:asciiTheme="minorHAnsi" w:hAnsiTheme="minorHAnsi" w:cstheme="minorHAnsi"/>
          <w:sz w:val="21"/>
          <w:szCs w:val="21"/>
        </w:rPr>
      </w:pPr>
    </w:p>
    <w:p w14:paraId="3D905FF0" w14:textId="77D1E02F" w:rsidR="00C05B84" w:rsidRPr="0094561D" w:rsidRDefault="00C05B84" w:rsidP="00412143">
      <w:pPr>
        <w:pStyle w:val="BodyText"/>
        <w:ind w:left="144"/>
        <w:jc w:val="both"/>
        <w:rPr>
          <w:rFonts w:asciiTheme="minorHAnsi" w:hAnsiTheme="minorHAnsi" w:cstheme="minorHAnsi"/>
          <w:sz w:val="21"/>
          <w:szCs w:val="21"/>
        </w:rPr>
      </w:pPr>
      <w:r w:rsidRPr="0094561D">
        <w:rPr>
          <w:rFonts w:asciiTheme="minorHAnsi" w:hAnsiTheme="minorHAnsi" w:cstheme="minorHAnsi"/>
          <w:sz w:val="21"/>
          <w:szCs w:val="21"/>
        </w:rPr>
        <w:t xml:space="preserve">Investment advisers, on the other hand, typically provide ongoing, regular advice and services in the context of broad investment portfolio management and are compensated based on the value of assets under management (“AUM”), a fixed fee or other arrangement (“fee-based” compensation or model). This variety is important because it presents investors with choices regarding the types of relationships they can have, the services they can receive, and how they can pay for those services. It is also common for a firm, like </w:t>
      </w:r>
      <w:r w:rsidR="0028253E">
        <w:rPr>
          <w:rFonts w:asciiTheme="minorHAnsi" w:hAnsiTheme="minorHAnsi" w:cstheme="minorHAnsi"/>
          <w:sz w:val="21"/>
          <w:szCs w:val="21"/>
        </w:rPr>
        <w:t>Tigress</w:t>
      </w:r>
      <w:r w:rsidRPr="0094561D">
        <w:rPr>
          <w:rFonts w:asciiTheme="minorHAnsi" w:hAnsiTheme="minorHAnsi" w:cstheme="minorHAnsi"/>
          <w:sz w:val="21"/>
          <w:szCs w:val="21"/>
        </w:rPr>
        <w:t>, to provide both broker-dealer and investment adviser services.</w:t>
      </w:r>
    </w:p>
    <w:p w14:paraId="66BD433E" w14:textId="77777777" w:rsidR="00C05B84" w:rsidRPr="0094561D" w:rsidRDefault="00C05B84" w:rsidP="00412143">
      <w:pPr>
        <w:pStyle w:val="BodyText"/>
        <w:ind w:left="144"/>
        <w:jc w:val="both"/>
        <w:rPr>
          <w:rFonts w:asciiTheme="minorHAnsi" w:hAnsiTheme="minorHAnsi" w:cstheme="minorHAnsi"/>
          <w:sz w:val="21"/>
          <w:szCs w:val="21"/>
        </w:rPr>
      </w:pPr>
    </w:p>
    <w:p w14:paraId="05C97F30" w14:textId="0E7DF66C" w:rsidR="00C05B84" w:rsidRPr="0094561D" w:rsidRDefault="00C05B84" w:rsidP="00412143">
      <w:pPr>
        <w:pStyle w:val="BodyText"/>
        <w:ind w:left="144"/>
        <w:jc w:val="both"/>
        <w:rPr>
          <w:rFonts w:asciiTheme="minorHAnsi" w:hAnsiTheme="minorHAnsi" w:cstheme="minorHAnsi"/>
          <w:sz w:val="21"/>
          <w:szCs w:val="21"/>
        </w:rPr>
      </w:pPr>
      <w:r w:rsidRPr="0094561D">
        <w:rPr>
          <w:rFonts w:asciiTheme="minorHAnsi" w:hAnsiTheme="minorHAnsi" w:cstheme="minorHAnsi"/>
          <w:sz w:val="21"/>
          <w:szCs w:val="21"/>
        </w:rPr>
        <w:t>Importantly, regardless of whether a retail investor chooses a broker-dealer or an investment adviser (or both), the retail investor will be entitled to a recommendation (from a broker-dealer) or advice (from an investment adviser) that is in the best interest of the retail investor and that does not place the interests of the firm or the financial professional ahead of the interests of the retail investor.</w:t>
      </w:r>
    </w:p>
    <w:p w14:paraId="11633699" w14:textId="26324940" w:rsidR="00C05B84" w:rsidRPr="0094561D" w:rsidRDefault="00C05B84" w:rsidP="00C05B84">
      <w:pPr>
        <w:pStyle w:val="BodyText"/>
        <w:jc w:val="both"/>
        <w:rPr>
          <w:rFonts w:asciiTheme="minorHAnsi" w:hAnsiTheme="minorHAnsi" w:cstheme="minorHAnsi"/>
          <w:sz w:val="21"/>
          <w:szCs w:val="21"/>
        </w:rPr>
      </w:pPr>
    </w:p>
    <w:p w14:paraId="7230E288" w14:textId="6A588857" w:rsidR="00C05B84" w:rsidRPr="0094561D" w:rsidRDefault="00C05B84" w:rsidP="00412143">
      <w:pPr>
        <w:pStyle w:val="BodyText"/>
        <w:ind w:left="144"/>
        <w:jc w:val="both"/>
        <w:rPr>
          <w:rFonts w:asciiTheme="minorHAnsi" w:hAnsiTheme="minorHAnsi" w:cstheme="minorHAnsi"/>
          <w:b/>
          <w:bCs/>
          <w:sz w:val="21"/>
          <w:szCs w:val="21"/>
        </w:rPr>
      </w:pPr>
      <w:r w:rsidRPr="0094561D">
        <w:rPr>
          <w:rFonts w:asciiTheme="minorHAnsi" w:hAnsiTheme="minorHAnsi" w:cstheme="minorHAnsi"/>
          <w:b/>
          <w:bCs/>
          <w:sz w:val="21"/>
          <w:szCs w:val="21"/>
        </w:rPr>
        <w:t>Brokerage Services</w:t>
      </w:r>
    </w:p>
    <w:p w14:paraId="4DD5C1BE" w14:textId="6F5D968E" w:rsidR="00600757" w:rsidRPr="0094561D" w:rsidRDefault="003013D6" w:rsidP="00412143">
      <w:pPr>
        <w:pStyle w:val="Default0"/>
        <w:spacing w:after="120"/>
        <w:ind w:left="144"/>
        <w:jc w:val="both"/>
        <w:rPr>
          <w:rFonts w:asciiTheme="minorHAnsi" w:eastAsia="Arial" w:hAnsiTheme="minorHAnsi" w:cstheme="minorHAnsi"/>
          <w:bCs/>
          <w:color w:val="auto"/>
          <w:sz w:val="21"/>
          <w:szCs w:val="21"/>
        </w:rPr>
      </w:pPr>
      <w:r w:rsidRPr="0094561D">
        <w:rPr>
          <w:rFonts w:asciiTheme="minorHAnsi" w:eastAsia="Arial" w:hAnsiTheme="minorHAnsi" w:cstheme="minorHAnsi"/>
          <w:bCs/>
          <w:color w:val="auto"/>
          <w:sz w:val="21"/>
          <w:szCs w:val="21"/>
        </w:rPr>
        <w:t xml:space="preserve">When you establish a </w:t>
      </w:r>
      <w:r w:rsidR="005269BF" w:rsidRPr="0094561D">
        <w:rPr>
          <w:rFonts w:asciiTheme="minorHAnsi" w:eastAsia="Arial" w:hAnsiTheme="minorHAnsi" w:cstheme="minorHAnsi"/>
          <w:bCs/>
          <w:color w:val="auto"/>
          <w:sz w:val="21"/>
          <w:szCs w:val="21"/>
        </w:rPr>
        <w:t>brokerage account</w:t>
      </w:r>
      <w:r w:rsidRPr="0094561D">
        <w:rPr>
          <w:rFonts w:asciiTheme="minorHAnsi" w:eastAsia="Arial" w:hAnsiTheme="minorHAnsi" w:cstheme="minorHAnsi"/>
          <w:bCs/>
          <w:color w:val="auto"/>
          <w:sz w:val="21"/>
          <w:szCs w:val="21"/>
        </w:rPr>
        <w:t xml:space="preserve"> </w:t>
      </w:r>
      <w:r w:rsidR="00600757" w:rsidRPr="0094561D">
        <w:rPr>
          <w:rFonts w:asciiTheme="minorHAnsi" w:eastAsia="Arial" w:hAnsiTheme="minorHAnsi" w:cstheme="minorHAnsi"/>
          <w:bCs/>
          <w:color w:val="auto"/>
          <w:sz w:val="21"/>
          <w:szCs w:val="21"/>
        </w:rPr>
        <w:t>with</w:t>
      </w:r>
      <w:r w:rsidRPr="0094561D">
        <w:rPr>
          <w:rFonts w:asciiTheme="minorHAnsi" w:eastAsia="Arial" w:hAnsiTheme="minorHAnsi" w:cstheme="minorHAnsi"/>
          <w:bCs/>
          <w:color w:val="auto"/>
          <w:sz w:val="21"/>
          <w:szCs w:val="21"/>
        </w:rPr>
        <w:t xml:space="preserve"> us</w:t>
      </w:r>
      <w:r w:rsidR="00EE0452" w:rsidRPr="0094561D">
        <w:rPr>
          <w:rFonts w:asciiTheme="minorHAnsi" w:eastAsia="Arial" w:hAnsiTheme="minorHAnsi" w:cstheme="minorHAnsi"/>
          <w:bCs/>
          <w:color w:val="auto"/>
          <w:sz w:val="21"/>
          <w:szCs w:val="21"/>
        </w:rPr>
        <w:t xml:space="preserve"> </w:t>
      </w:r>
      <w:r w:rsidR="00600757" w:rsidRPr="0094561D">
        <w:rPr>
          <w:rFonts w:asciiTheme="minorHAnsi" w:eastAsia="Arial" w:hAnsiTheme="minorHAnsi" w:cstheme="minorHAnsi"/>
          <w:bCs/>
          <w:color w:val="auto"/>
          <w:sz w:val="21"/>
          <w:szCs w:val="21"/>
        </w:rPr>
        <w:t>(</w:t>
      </w:r>
      <w:r w:rsidR="00EE0452" w:rsidRPr="0094561D">
        <w:rPr>
          <w:rFonts w:asciiTheme="minorHAnsi" w:eastAsia="Arial" w:hAnsiTheme="minorHAnsi" w:cstheme="minorHAnsi"/>
          <w:bCs/>
          <w:color w:val="auto"/>
          <w:sz w:val="21"/>
          <w:szCs w:val="21"/>
        </w:rPr>
        <w:t>at our clearing firm</w:t>
      </w:r>
      <w:r w:rsidR="009C7759" w:rsidRPr="0094561D">
        <w:rPr>
          <w:rFonts w:asciiTheme="minorHAnsi" w:eastAsia="Arial" w:hAnsiTheme="minorHAnsi" w:cstheme="minorHAnsi"/>
          <w:bCs/>
          <w:color w:val="auto"/>
          <w:sz w:val="21"/>
          <w:szCs w:val="21"/>
        </w:rPr>
        <w:t xml:space="preserve"> Pershing</w:t>
      </w:r>
      <w:r w:rsidR="00600757" w:rsidRPr="0094561D">
        <w:rPr>
          <w:rFonts w:asciiTheme="minorHAnsi" w:eastAsia="Arial" w:hAnsiTheme="minorHAnsi" w:cstheme="minorHAnsi"/>
          <w:bCs/>
          <w:color w:val="auto"/>
          <w:sz w:val="21"/>
          <w:szCs w:val="21"/>
        </w:rPr>
        <w:t>)</w:t>
      </w:r>
      <w:r w:rsidRPr="0094561D">
        <w:rPr>
          <w:rFonts w:asciiTheme="minorHAnsi" w:eastAsia="Arial" w:hAnsiTheme="minorHAnsi" w:cstheme="minorHAnsi"/>
          <w:bCs/>
          <w:color w:val="auto"/>
          <w:sz w:val="21"/>
          <w:szCs w:val="21"/>
        </w:rPr>
        <w:t xml:space="preserve">, you have the ability to </w:t>
      </w:r>
      <w:r w:rsidR="00F46A41" w:rsidRPr="0094561D">
        <w:rPr>
          <w:rFonts w:asciiTheme="minorHAnsi" w:eastAsia="Arial" w:hAnsiTheme="minorHAnsi" w:cstheme="minorHAnsi"/>
          <w:bCs/>
          <w:color w:val="auto"/>
          <w:sz w:val="21"/>
          <w:szCs w:val="21"/>
        </w:rPr>
        <w:t>buy, sell and hold investments</w:t>
      </w:r>
      <w:r w:rsidRPr="0094561D">
        <w:rPr>
          <w:rFonts w:asciiTheme="minorHAnsi" w:eastAsia="Arial" w:hAnsiTheme="minorHAnsi" w:cstheme="minorHAnsi"/>
          <w:bCs/>
          <w:color w:val="auto"/>
          <w:sz w:val="21"/>
          <w:szCs w:val="21"/>
        </w:rPr>
        <w:t xml:space="preserve"> within your account</w:t>
      </w:r>
      <w:r w:rsidR="007A6731" w:rsidRPr="0094561D">
        <w:rPr>
          <w:rFonts w:asciiTheme="minorHAnsi" w:eastAsia="Arial" w:hAnsiTheme="minorHAnsi" w:cstheme="minorHAnsi"/>
          <w:bCs/>
          <w:color w:val="auto"/>
          <w:sz w:val="21"/>
          <w:szCs w:val="21"/>
        </w:rPr>
        <w:t>. T</w:t>
      </w:r>
      <w:r w:rsidR="00F2567D" w:rsidRPr="0094561D">
        <w:rPr>
          <w:rFonts w:asciiTheme="minorHAnsi" w:eastAsia="Arial" w:hAnsiTheme="minorHAnsi" w:cstheme="minorHAnsi"/>
          <w:bCs/>
          <w:color w:val="auto"/>
          <w:sz w:val="21"/>
          <w:szCs w:val="21"/>
        </w:rPr>
        <w:t>he primary service we provide</w:t>
      </w:r>
      <w:r w:rsidR="00A94A8B" w:rsidRPr="0094561D">
        <w:rPr>
          <w:rFonts w:asciiTheme="minorHAnsi" w:eastAsia="Arial" w:hAnsiTheme="minorHAnsi" w:cstheme="minorHAnsi"/>
          <w:bCs/>
          <w:color w:val="auto"/>
          <w:sz w:val="21"/>
          <w:szCs w:val="21"/>
        </w:rPr>
        <w:t xml:space="preserve"> </w:t>
      </w:r>
      <w:r w:rsidR="00D56909" w:rsidRPr="0094561D">
        <w:rPr>
          <w:rFonts w:asciiTheme="minorHAnsi" w:eastAsia="Arial" w:hAnsiTheme="minorHAnsi" w:cstheme="minorHAnsi"/>
          <w:bCs/>
          <w:color w:val="auto"/>
          <w:sz w:val="21"/>
          <w:szCs w:val="21"/>
        </w:rPr>
        <w:t>is</w:t>
      </w:r>
      <w:r w:rsidR="00F2567D" w:rsidRPr="0094561D">
        <w:rPr>
          <w:rFonts w:asciiTheme="minorHAnsi" w:eastAsia="Arial" w:hAnsiTheme="minorHAnsi" w:cstheme="minorHAnsi"/>
          <w:bCs/>
          <w:color w:val="auto"/>
          <w:sz w:val="21"/>
          <w:szCs w:val="21"/>
        </w:rPr>
        <w:t xml:space="preserve"> </w:t>
      </w:r>
      <w:r w:rsidR="00D56909" w:rsidRPr="0094561D">
        <w:rPr>
          <w:rFonts w:asciiTheme="minorHAnsi" w:eastAsia="Arial" w:hAnsiTheme="minorHAnsi" w:cstheme="minorHAnsi"/>
          <w:bCs/>
          <w:color w:val="auto"/>
          <w:sz w:val="21"/>
          <w:szCs w:val="21"/>
        </w:rPr>
        <w:t xml:space="preserve">our </w:t>
      </w:r>
      <w:r w:rsidR="007D5F7E" w:rsidRPr="0094561D">
        <w:rPr>
          <w:rFonts w:asciiTheme="minorHAnsi" w:eastAsia="Arial" w:hAnsiTheme="minorHAnsi" w:cstheme="minorHAnsi"/>
          <w:bCs/>
          <w:color w:val="auto"/>
          <w:sz w:val="21"/>
          <w:szCs w:val="21"/>
        </w:rPr>
        <w:t>trading</w:t>
      </w:r>
      <w:r w:rsidR="00600757" w:rsidRPr="0094561D">
        <w:rPr>
          <w:rFonts w:asciiTheme="minorHAnsi" w:eastAsia="Arial" w:hAnsiTheme="minorHAnsi" w:cstheme="minorHAnsi"/>
          <w:bCs/>
          <w:color w:val="auto"/>
          <w:sz w:val="21"/>
          <w:szCs w:val="21"/>
        </w:rPr>
        <w:t xml:space="preserve"> (buy/sell)</w:t>
      </w:r>
      <w:r w:rsidR="007D5F7E" w:rsidRPr="0094561D">
        <w:rPr>
          <w:rFonts w:asciiTheme="minorHAnsi" w:eastAsia="Arial" w:hAnsiTheme="minorHAnsi" w:cstheme="minorHAnsi"/>
          <w:bCs/>
          <w:color w:val="auto"/>
          <w:sz w:val="21"/>
          <w:szCs w:val="21"/>
        </w:rPr>
        <w:t xml:space="preserve"> capabilit</w:t>
      </w:r>
      <w:r w:rsidR="00BF6B0E" w:rsidRPr="0094561D">
        <w:rPr>
          <w:rFonts w:asciiTheme="minorHAnsi" w:eastAsia="Arial" w:hAnsiTheme="minorHAnsi" w:cstheme="minorHAnsi"/>
          <w:bCs/>
          <w:color w:val="auto"/>
          <w:sz w:val="21"/>
          <w:szCs w:val="21"/>
        </w:rPr>
        <w:t>y. We execute</w:t>
      </w:r>
      <w:r w:rsidR="00724ED8" w:rsidRPr="0094561D">
        <w:rPr>
          <w:rFonts w:asciiTheme="minorHAnsi" w:eastAsia="Arial" w:hAnsiTheme="minorHAnsi" w:cstheme="minorHAnsi"/>
          <w:bCs/>
          <w:color w:val="auto"/>
          <w:sz w:val="21"/>
          <w:szCs w:val="21"/>
        </w:rPr>
        <w:t xml:space="preserve"> </w:t>
      </w:r>
      <w:r w:rsidR="00644135" w:rsidRPr="0094561D">
        <w:rPr>
          <w:rFonts w:asciiTheme="minorHAnsi" w:eastAsia="Arial" w:hAnsiTheme="minorHAnsi" w:cstheme="minorHAnsi"/>
          <w:bCs/>
          <w:color w:val="auto"/>
          <w:sz w:val="21"/>
          <w:szCs w:val="21"/>
        </w:rPr>
        <w:t>purchase</w:t>
      </w:r>
      <w:r w:rsidR="00724ED8" w:rsidRPr="0094561D">
        <w:rPr>
          <w:rFonts w:asciiTheme="minorHAnsi" w:eastAsia="Arial" w:hAnsiTheme="minorHAnsi" w:cstheme="minorHAnsi"/>
          <w:bCs/>
          <w:color w:val="auto"/>
          <w:sz w:val="21"/>
          <w:szCs w:val="21"/>
        </w:rPr>
        <w:t>s</w:t>
      </w:r>
      <w:r w:rsidR="00644135" w:rsidRPr="0094561D">
        <w:rPr>
          <w:rFonts w:asciiTheme="minorHAnsi" w:eastAsia="Arial" w:hAnsiTheme="minorHAnsi" w:cstheme="minorHAnsi"/>
          <w:bCs/>
          <w:color w:val="auto"/>
          <w:sz w:val="21"/>
          <w:szCs w:val="21"/>
        </w:rPr>
        <w:t xml:space="preserve"> and sales</w:t>
      </w:r>
      <w:r w:rsidR="009C417A" w:rsidRPr="0094561D">
        <w:rPr>
          <w:rFonts w:asciiTheme="minorHAnsi" w:eastAsia="Arial" w:hAnsiTheme="minorHAnsi" w:cstheme="minorHAnsi"/>
          <w:bCs/>
          <w:color w:val="auto"/>
          <w:sz w:val="21"/>
          <w:szCs w:val="21"/>
        </w:rPr>
        <w:t xml:space="preserve"> on your behalf</w:t>
      </w:r>
      <w:r w:rsidR="00DB62F6" w:rsidRPr="0094561D">
        <w:rPr>
          <w:rFonts w:asciiTheme="minorHAnsi" w:eastAsia="Arial" w:hAnsiTheme="minorHAnsi" w:cstheme="minorHAnsi"/>
          <w:bCs/>
          <w:color w:val="auto"/>
          <w:sz w:val="21"/>
          <w:szCs w:val="21"/>
        </w:rPr>
        <w:t>,</w:t>
      </w:r>
      <w:r w:rsidR="009C417A" w:rsidRPr="0094561D">
        <w:rPr>
          <w:rFonts w:asciiTheme="minorHAnsi" w:eastAsia="Arial" w:hAnsiTheme="minorHAnsi" w:cstheme="minorHAnsi"/>
          <w:bCs/>
          <w:color w:val="auto"/>
          <w:sz w:val="21"/>
          <w:szCs w:val="21"/>
        </w:rPr>
        <w:t xml:space="preserve"> </w:t>
      </w:r>
      <w:r w:rsidR="00292274" w:rsidRPr="0094561D">
        <w:rPr>
          <w:rFonts w:asciiTheme="minorHAnsi" w:eastAsia="Arial" w:hAnsiTheme="minorHAnsi" w:cstheme="minorHAnsi"/>
          <w:bCs/>
          <w:color w:val="auto"/>
          <w:sz w:val="21"/>
          <w:szCs w:val="21"/>
        </w:rPr>
        <w:t xml:space="preserve">and </w:t>
      </w:r>
      <w:r w:rsidR="009C417A" w:rsidRPr="0094561D">
        <w:rPr>
          <w:rFonts w:asciiTheme="minorHAnsi" w:eastAsia="Arial" w:hAnsiTheme="minorHAnsi" w:cstheme="minorHAnsi"/>
          <w:bCs/>
          <w:color w:val="auto"/>
          <w:sz w:val="21"/>
          <w:szCs w:val="21"/>
        </w:rPr>
        <w:t>as</w:t>
      </w:r>
      <w:r w:rsidR="00724ED8" w:rsidRPr="0094561D">
        <w:rPr>
          <w:rFonts w:asciiTheme="minorHAnsi" w:eastAsia="Arial" w:hAnsiTheme="minorHAnsi" w:cstheme="minorHAnsi"/>
          <w:bCs/>
          <w:color w:val="auto"/>
          <w:sz w:val="21"/>
          <w:szCs w:val="21"/>
        </w:rPr>
        <w:t xml:space="preserve"> directed by you</w:t>
      </w:r>
      <w:r w:rsidR="00F2567D" w:rsidRPr="0094561D">
        <w:rPr>
          <w:rFonts w:asciiTheme="minorHAnsi" w:eastAsia="Arial" w:hAnsiTheme="minorHAnsi" w:cstheme="minorHAnsi"/>
          <w:bCs/>
          <w:color w:val="auto"/>
          <w:sz w:val="21"/>
          <w:szCs w:val="21"/>
        </w:rPr>
        <w:t xml:space="preserve">. </w:t>
      </w:r>
      <w:r w:rsidR="00D94E37" w:rsidRPr="0094561D">
        <w:rPr>
          <w:rFonts w:asciiTheme="minorHAnsi" w:eastAsia="Arial" w:hAnsiTheme="minorHAnsi" w:cstheme="minorHAnsi"/>
          <w:bCs/>
          <w:color w:val="auto"/>
          <w:sz w:val="21"/>
          <w:szCs w:val="21"/>
        </w:rPr>
        <w:t>In a brokerage</w:t>
      </w:r>
      <w:r w:rsidR="00BF6B0E" w:rsidRPr="0094561D">
        <w:rPr>
          <w:rFonts w:asciiTheme="minorHAnsi" w:eastAsia="Arial" w:hAnsiTheme="minorHAnsi" w:cstheme="minorHAnsi"/>
          <w:bCs/>
          <w:color w:val="auto"/>
          <w:sz w:val="21"/>
          <w:szCs w:val="21"/>
        </w:rPr>
        <w:t xml:space="preserve"> </w:t>
      </w:r>
      <w:r w:rsidR="00600757" w:rsidRPr="0094561D">
        <w:rPr>
          <w:rFonts w:asciiTheme="minorHAnsi" w:eastAsia="Arial" w:hAnsiTheme="minorHAnsi" w:cstheme="minorHAnsi"/>
          <w:bCs/>
          <w:color w:val="auto"/>
          <w:sz w:val="21"/>
          <w:szCs w:val="21"/>
        </w:rPr>
        <w:t>services relationship,</w:t>
      </w:r>
      <w:r w:rsidR="00D94E37" w:rsidRPr="0094561D">
        <w:rPr>
          <w:rFonts w:asciiTheme="minorHAnsi" w:eastAsia="Arial" w:hAnsiTheme="minorHAnsi" w:cstheme="minorHAnsi"/>
          <w:bCs/>
          <w:color w:val="auto"/>
          <w:sz w:val="21"/>
          <w:szCs w:val="21"/>
        </w:rPr>
        <w:t xml:space="preserve"> we can trade with you for our own account, for an affiliate or for another </w:t>
      </w:r>
      <w:r w:rsidR="004A059C" w:rsidRPr="0094561D">
        <w:rPr>
          <w:rFonts w:asciiTheme="minorHAnsi" w:eastAsia="Arial" w:hAnsiTheme="minorHAnsi" w:cstheme="minorHAnsi"/>
          <w:bCs/>
          <w:color w:val="auto"/>
          <w:sz w:val="21"/>
          <w:szCs w:val="21"/>
        </w:rPr>
        <w:t>customer</w:t>
      </w:r>
      <w:r w:rsidR="00D94E37" w:rsidRPr="0094561D">
        <w:rPr>
          <w:rFonts w:asciiTheme="minorHAnsi" w:eastAsia="Arial" w:hAnsiTheme="minorHAnsi" w:cstheme="minorHAnsi"/>
          <w:bCs/>
          <w:color w:val="auto"/>
          <w:sz w:val="21"/>
          <w:szCs w:val="21"/>
        </w:rPr>
        <w:t>, and we can earn a profit on those trades. However, we are not required to communicate it in advance, obtain your consent, or inform you of any profit earned on trades.</w:t>
      </w:r>
      <w:r w:rsidR="00600757" w:rsidRPr="0094561D">
        <w:rPr>
          <w:rFonts w:asciiTheme="minorHAnsi" w:eastAsia="Arial" w:hAnsiTheme="minorHAnsi" w:cstheme="minorHAnsi"/>
          <w:bCs/>
          <w:color w:val="auto"/>
          <w:sz w:val="21"/>
          <w:szCs w:val="21"/>
        </w:rPr>
        <w:t xml:space="preserve"> The capacity in which we act </w:t>
      </w:r>
      <w:r w:rsidR="001B01E1" w:rsidRPr="0094561D">
        <w:rPr>
          <w:rFonts w:asciiTheme="minorHAnsi" w:eastAsia="Arial" w:hAnsiTheme="minorHAnsi" w:cstheme="minorHAnsi"/>
          <w:bCs/>
          <w:color w:val="auto"/>
          <w:sz w:val="21"/>
          <w:szCs w:val="21"/>
        </w:rPr>
        <w:t xml:space="preserve">(principal or agent) </w:t>
      </w:r>
      <w:r w:rsidR="00600757" w:rsidRPr="0094561D">
        <w:rPr>
          <w:rFonts w:asciiTheme="minorHAnsi" w:eastAsia="Arial" w:hAnsiTheme="minorHAnsi" w:cstheme="minorHAnsi"/>
          <w:bCs/>
          <w:color w:val="auto"/>
          <w:sz w:val="21"/>
          <w:szCs w:val="21"/>
        </w:rPr>
        <w:t xml:space="preserve">is disclosed on your trade confirmation. </w:t>
      </w:r>
    </w:p>
    <w:p w14:paraId="2E02779E" w14:textId="7DA07626" w:rsidR="00EE0452" w:rsidRPr="0094561D" w:rsidRDefault="00600757" w:rsidP="00412143">
      <w:pPr>
        <w:pStyle w:val="Default0"/>
        <w:ind w:left="144"/>
        <w:jc w:val="both"/>
        <w:rPr>
          <w:rFonts w:asciiTheme="minorHAnsi" w:hAnsiTheme="minorHAnsi" w:cstheme="minorHAnsi"/>
          <w:sz w:val="21"/>
          <w:szCs w:val="21"/>
        </w:rPr>
      </w:pPr>
      <w:r w:rsidRPr="0094561D">
        <w:rPr>
          <w:rFonts w:asciiTheme="minorHAnsi" w:eastAsia="Arial" w:hAnsiTheme="minorHAnsi" w:cstheme="minorHAnsi"/>
          <w:bCs/>
          <w:color w:val="auto"/>
          <w:sz w:val="21"/>
          <w:szCs w:val="21"/>
        </w:rPr>
        <w:lastRenderedPageBreak/>
        <w:t>We are also able to offer application-based brokerage services, such as accounts held directly with mutual fund companies, variable annuities,</w:t>
      </w:r>
      <w:r w:rsidR="00EE0452" w:rsidRPr="0094561D">
        <w:rPr>
          <w:rFonts w:asciiTheme="minorHAnsi" w:eastAsia="Arial" w:hAnsiTheme="minorHAnsi" w:cstheme="minorHAnsi"/>
          <w:bCs/>
          <w:color w:val="auto"/>
          <w:sz w:val="21"/>
          <w:szCs w:val="21"/>
        </w:rPr>
        <w:t xml:space="preserve"> and </w:t>
      </w:r>
      <w:r w:rsidR="001B01E1" w:rsidRPr="0094561D">
        <w:rPr>
          <w:rFonts w:asciiTheme="minorHAnsi" w:eastAsia="Arial" w:hAnsiTheme="minorHAnsi" w:cstheme="minorHAnsi"/>
          <w:bCs/>
          <w:color w:val="auto"/>
          <w:sz w:val="21"/>
          <w:szCs w:val="21"/>
        </w:rPr>
        <w:t>subscription-based</w:t>
      </w:r>
      <w:r w:rsidR="00EE0452" w:rsidRPr="0094561D">
        <w:rPr>
          <w:rFonts w:asciiTheme="minorHAnsi" w:eastAsia="Arial" w:hAnsiTheme="minorHAnsi" w:cstheme="minorHAnsi"/>
          <w:bCs/>
          <w:color w:val="auto"/>
          <w:sz w:val="21"/>
          <w:szCs w:val="21"/>
        </w:rPr>
        <w:t xml:space="preserve"> investments, such as Reg D offerings.</w:t>
      </w:r>
      <w:r w:rsidRPr="0094561D">
        <w:rPr>
          <w:rFonts w:asciiTheme="minorHAnsi" w:eastAsia="Arial" w:hAnsiTheme="minorHAnsi" w:cstheme="minorHAnsi"/>
          <w:bCs/>
          <w:color w:val="auto"/>
          <w:sz w:val="21"/>
          <w:szCs w:val="21"/>
        </w:rPr>
        <w:t xml:space="preserve"> These accounts are held directly by the third-party companies, such as </w:t>
      </w:r>
      <w:commentRangeStart w:id="2"/>
      <w:r w:rsidRPr="0094561D">
        <w:rPr>
          <w:rFonts w:asciiTheme="minorHAnsi" w:eastAsia="Arial" w:hAnsiTheme="minorHAnsi" w:cstheme="minorHAnsi"/>
          <w:bCs/>
          <w:color w:val="auto"/>
          <w:sz w:val="21"/>
          <w:szCs w:val="21"/>
        </w:rPr>
        <w:t>American Funds, Fidelity, etc</w:t>
      </w:r>
      <w:commentRangeEnd w:id="2"/>
      <w:r w:rsidR="00B76E7E">
        <w:rPr>
          <w:rStyle w:val="CommentReference"/>
          <w:rFonts w:ascii="Arial" w:eastAsia="Arial" w:hAnsi="Arial" w:cs="Arial"/>
          <w:color w:val="auto"/>
        </w:rPr>
        <w:commentReference w:id="2"/>
      </w:r>
      <w:r w:rsidRPr="0094561D">
        <w:rPr>
          <w:rFonts w:asciiTheme="minorHAnsi" w:eastAsia="Arial" w:hAnsiTheme="minorHAnsi" w:cstheme="minorHAnsi"/>
          <w:bCs/>
          <w:color w:val="auto"/>
          <w:sz w:val="21"/>
          <w:szCs w:val="21"/>
        </w:rPr>
        <w:t>.</w:t>
      </w:r>
    </w:p>
    <w:p w14:paraId="2FB3BA12" w14:textId="77777777" w:rsidR="00C85B66" w:rsidRPr="0094561D" w:rsidRDefault="00C85B66" w:rsidP="00412143">
      <w:pPr>
        <w:pStyle w:val="Default0"/>
        <w:ind w:left="144"/>
        <w:jc w:val="both"/>
        <w:rPr>
          <w:rFonts w:asciiTheme="minorHAnsi" w:eastAsia="Arial" w:hAnsiTheme="minorHAnsi" w:cstheme="minorHAnsi"/>
          <w:bCs/>
          <w:color w:val="auto"/>
          <w:sz w:val="21"/>
          <w:szCs w:val="21"/>
        </w:rPr>
      </w:pPr>
    </w:p>
    <w:p w14:paraId="6E1B1A5D" w14:textId="77777777" w:rsidR="0052717D" w:rsidRPr="0094561D" w:rsidRDefault="0052717D" w:rsidP="00412143">
      <w:pPr>
        <w:pStyle w:val="Default0"/>
        <w:ind w:left="144"/>
        <w:jc w:val="both"/>
        <w:rPr>
          <w:rFonts w:asciiTheme="minorHAnsi" w:eastAsia="Arial" w:hAnsiTheme="minorHAnsi" w:cstheme="minorHAnsi"/>
          <w:b/>
          <w:bCs/>
          <w:color w:val="auto"/>
          <w:sz w:val="21"/>
          <w:szCs w:val="21"/>
        </w:rPr>
      </w:pPr>
      <w:r w:rsidRPr="0094561D">
        <w:rPr>
          <w:rFonts w:asciiTheme="minorHAnsi" w:eastAsia="Arial" w:hAnsiTheme="minorHAnsi" w:cstheme="minorHAnsi"/>
          <w:b/>
          <w:bCs/>
          <w:color w:val="auto"/>
          <w:sz w:val="21"/>
          <w:szCs w:val="21"/>
        </w:rPr>
        <w:t xml:space="preserve">Brokerage Account Types </w:t>
      </w:r>
    </w:p>
    <w:p w14:paraId="20CF52A1" w14:textId="367C8346" w:rsidR="0052717D" w:rsidRPr="0094561D" w:rsidRDefault="0052717D" w:rsidP="00412143">
      <w:pPr>
        <w:pStyle w:val="Default0"/>
        <w:ind w:left="144"/>
        <w:jc w:val="both"/>
        <w:rPr>
          <w:rFonts w:asciiTheme="minorHAnsi" w:eastAsia="Arial" w:hAnsiTheme="minorHAnsi" w:cstheme="minorHAnsi"/>
          <w:bCs/>
          <w:color w:val="auto"/>
          <w:sz w:val="21"/>
          <w:szCs w:val="21"/>
        </w:rPr>
      </w:pPr>
      <w:r w:rsidRPr="0094561D">
        <w:rPr>
          <w:rFonts w:asciiTheme="minorHAnsi" w:eastAsia="Arial" w:hAnsiTheme="minorHAnsi" w:cstheme="minorHAnsi"/>
          <w:bCs/>
          <w:color w:val="auto"/>
          <w:sz w:val="21"/>
          <w:szCs w:val="21"/>
        </w:rPr>
        <w:t xml:space="preserve">We offer many different brokerage account types including individual and joint accounts, custodial accounts, estate and trust accounts, corporate and institutional accounts, partnership accounts, individual retirement accounts, and other types of retirement accounts as outlined in our account agreement(s). You should refer to our Pershing account agreement(s) for more information concerning available account types or speak with your </w:t>
      </w:r>
      <w:r w:rsidR="00B76E7E">
        <w:rPr>
          <w:rFonts w:asciiTheme="minorHAnsi" w:eastAsia="Arial" w:hAnsiTheme="minorHAnsi" w:cstheme="minorHAnsi"/>
          <w:bCs/>
          <w:color w:val="auto"/>
          <w:sz w:val="21"/>
          <w:szCs w:val="21"/>
        </w:rPr>
        <w:t>T</w:t>
      </w:r>
      <w:r w:rsidR="00811BAB">
        <w:rPr>
          <w:rFonts w:asciiTheme="minorHAnsi" w:eastAsia="Arial" w:hAnsiTheme="minorHAnsi" w:cstheme="minorHAnsi"/>
          <w:bCs/>
          <w:color w:val="auto"/>
          <w:sz w:val="21"/>
          <w:szCs w:val="21"/>
        </w:rPr>
        <w:t xml:space="preserve">igress </w:t>
      </w:r>
      <w:r w:rsidRPr="0094561D">
        <w:rPr>
          <w:rFonts w:asciiTheme="minorHAnsi" w:eastAsia="Arial" w:hAnsiTheme="minorHAnsi" w:cstheme="minorHAnsi"/>
          <w:bCs/>
          <w:color w:val="auto"/>
          <w:sz w:val="21"/>
          <w:szCs w:val="21"/>
        </w:rPr>
        <w:t>adviser or representative.</w:t>
      </w:r>
    </w:p>
    <w:p w14:paraId="73A67303" w14:textId="77777777" w:rsidR="0052717D" w:rsidRPr="0094561D" w:rsidRDefault="0052717D" w:rsidP="00412143">
      <w:pPr>
        <w:pStyle w:val="Default0"/>
        <w:ind w:left="144"/>
        <w:jc w:val="both"/>
        <w:rPr>
          <w:rFonts w:asciiTheme="minorHAnsi" w:eastAsia="Arial" w:hAnsiTheme="minorHAnsi" w:cstheme="minorHAnsi"/>
          <w:bCs/>
          <w:color w:val="auto"/>
          <w:sz w:val="21"/>
          <w:szCs w:val="21"/>
        </w:rPr>
      </w:pPr>
    </w:p>
    <w:p w14:paraId="1CF61DEE" w14:textId="77777777" w:rsidR="000D1043" w:rsidRPr="0094561D" w:rsidRDefault="000D1043" w:rsidP="00412143">
      <w:pPr>
        <w:pStyle w:val="Default0"/>
        <w:ind w:left="144"/>
        <w:jc w:val="both"/>
        <w:rPr>
          <w:rFonts w:asciiTheme="minorHAnsi" w:eastAsia="Arial" w:hAnsiTheme="minorHAnsi" w:cstheme="minorHAnsi"/>
          <w:b/>
          <w:bCs/>
          <w:color w:val="auto"/>
          <w:sz w:val="21"/>
          <w:szCs w:val="21"/>
        </w:rPr>
      </w:pPr>
      <w:r w:rsidRPr="0094561D">
        <w:rPr>
          <w:rFonts w:asciiTheme="minorHAnsi" w:eastAsia="Arial" w:hAnsiTheme="minorHAnsi" w:cstheme="minorHAnsi"/>
          <w:b/>
          <w:bCs/>
          <w:color w:val="auto"/>
          <w:sz w:val="21"/>
          <w:szCs w:val="21"/>
        </w:rPr>
        <w:t>Cash Brokerage and Margin Brokerage</w:t>
      </w:r>
      <w:r w:rsidR="00EE65F8" w:rsidRPr="0094561D">
        <w:rPr>
          <w:rFonts w:asciiTheme="minorHAnsi" w:eastAsia="Arial" w:hAnsiTheme="minorHAnsi" w:cstheme="minorHAnsi"/>
          <w:b/>
          <w:bCs/>
          <w:color w:val="auto"/>
          <w:sz w:val="21"/>
          <w:szCs w:val="21"/>
        </w:rPr>
        <w:t xml:space="preserve"> Accounts</w:t>
      </w:r>
    </w:p>
    <w:p w14:paraId="28E701B0" w14:textId="25DE5E85" w:rsidR="00C85B66" w:rsidRPr="0094561D" w:rsidRDefault="00D56909" w:rsidP="00412143">
      <w:pPr>
        <w:pStyle w:val="Default0"/>
        <w:ind w:left="144"/>
        <w:jc w:val="both"/>
        <w:rPr>
          <w:rFonts w:asciiTheme="minorHAnsi" w:eastAsia="Arial" w:hAnsiTheme="minorHAnsi" w:cstheme="minorHAnsi"/>
          <w:bCs/>
          <w:color w:val="auto"/>
          <w:sz w:val="21"/>
          <w:szCs w:val="21"/>
        </w:rPr>
      </w:pPr>
      <w:r w:rsidRPr="0094561D">
        <w:rPr>
          <w:rFonts w:asciiTheme="minorHAnsi" w:eastAsia="Arial" w:hAnsiTheme="minorHAnsi" w:cstheme="minorHAnsi"/>
          <w:bCs/>
          <w:color w:val="auto"/>
          <w:sz w:val="21"/>
          <w:szCs w:val="21"/>
        </w:rPr>
        <w:t xml:space="preserve">We provide brokerage services through </w:t>
      </w:r>
      <w:r w:rsidR="000459D8" w:rsidRPr="0094561D">
        <w:rPr>
          <w:rFonts w:asciiTheme="minorHAnsi" w:eastAsia="Arial" w:hAnsiTheme="minorHAnsi" w:cstheme="minorHAnsi"/>
          <w:bCs/>
          <w:color w:val="auto"/>
          <w:sz w:val="21"/>
          <w:szCs w:val="21"/>
        </w:rPr>
        <w:t>either a cash brokerage</w:t>
      </w:r>
      <w:r w:rsidRPr="0094561D">
        <w:rPr>
          <w:rFonts w:asciiTheme="minorHAnsi" w:eastAsia="Arial" w:hAnsiTheme="minorHAnsi" w:cstheme="minorHAnsi"/>
          <w:bCs/>
          <w:color w:val="auto"/>
          <w:sz w:val="21"/>
          <w:szCs w:val="21"/>
        </w:rPr>
        <w:t xml:space="preserve"> account</w:t>
      </w:r>
      <w:r w:rsidR="000459D8" w:rsidRPr="0094561D">
        <w:rPr>
          <w:rFonts w:asciiTheme="minorHAnsi" w:eastAsia="Arial" w:hAnsiTheme="minorHAnsi" w:cstheme="minorHAnsi"/>
          <w:bCs/>
          <w:color w:val="auto"/>
          <w:sz w:val="21"/>
          <w:szCs w:val="21"/>
        </w:rPr>
        <w:t xml:space="preserve"> or margin</w:t>
      </w:r>
      <w:r w:rsidR="00B122B8" w:rsidRPr="0094561D">
        <w:rPr>
          <w:rFonts w:asciiTheme="minorHAnsi" w:eastAsia="Arial" w:hAnsiTheme="minorHAnsi" w:cstheme="minorHAnsi"/>
          <w:bCs/>
          <w:color w:val="auto"/>
          <w:sz w:val="21"/>
          <w:szCs w:val="21"/>
        </w:rPr>
        <w:t xml:space="preserve"> brokerage</w:t>
      </w:r>
      <w:r w:rsidR="000459D8" w:rsidRPr="0094561D">
        <w:rPr>
          <w:rFonts w:asciiTheme="minorHAnsi" w:eastAsia="Arial" w:hAnsiTheme="minorHAnsi" w:cstheme="minorHAnsi"/>
          <w:bCs/>
          <w:color w:val="auto"/>
          <w:sz w:val="21"/>
          <w:szCs w:val="21"/>
        </w:rPr>
        <w:t xml:space="preserve"> account</w:t>
      </w:r>
      <w:r w:rsidR="006770EC" w:rsidRPr="0094561D">
        <w:rPr>
          <w:rFonts w:asciiTheme="minorHAnsi" w:eastAsia="Arial" w:hAnsiTheme="minorHAnsi" w:cstheme="minorHAnsi"/>
          <w:bCs/>
          <w:color w:val="auto"/>
          <w:sz w:val="21"/>
          <w:szCs w:val="21"/>
        </w:rPr>
        <w:t>, based on your</w:t>
      </w:r>
      <w:r w:rsidR="00C77D3C" w:rsidRPr="0094561D">
        <w:rPr>
          <w:rFonts w:asciiTheme="minorHAnsi" w:eastAsia="Arial" w:hAnsiTheme="minorHAnsi" w:cstheme="minorHAnsi"/>
          <w:bCs/>
          <w:color w:val="auto"/>
          <w:sz w:val="21"/>
          <w:szCs w:val="21"/>
        </w:rPr>
        <w:t xml:space="preserve"> </w:t>
      </w:r>
      <w:r w:rsidR="001A6A31" w:rsidRPr="0094561D">
        <w:rPr>
          <w:rFonts w:asciiTheme="minorHAnsi" w:eastAsia="Arial" w:hAnsiTheme="minorHAnsi" w:cstheme="minorHAnsi"/>
          <w:bCs/>
          <w:color w:val="auto"/>
          <w:sz w:val="21"/>
          <w:szCs w:val="21"/>
        </w:rPr>
        <w:t xml:space="preserve">eligibility and </w:t>
      </w:r>
      <w:r w:rsidR="00C77D3C" w:rsidRPr="0094561D">
        <w:rPr>
          <w:rFonts w:asciiTheme="minorHAnsi" w:eastAsia="Arial" w:hAnsiTheme="minorHAnsi" w:cstheme="minorHAnsi"/>
          <w:bCs/>
          <w:color w:val="auto"/>
          <w:sz w:val="21"/>
          <w:szCs w:val="21"/>
        </w:rPr>
        <w:t>selection</w:t>
      </w:r>
      <w:r w:rsidR="00B122B8" w:rsidRPr="0094561D">
        <w:rPr>
          <w:rFonts w:asciiTheme="minorHAnsi" w:eastAsia="Arial" w:hAnsiTheme="minorHAnsi" w:cstheme="minorHAnsi"/>
          <w:bCs/>
          <w:color w:val="auto"/>
          <w:sz w:val="21"/>
          <w:szCs w:val="21"/>
        </w:rPr>
        <w:t xml:space="preserve">. In a cash brokerage account, you must pay for your purchases in full at the time of purchase. </w:t>
      </w:r>
      <w:r w:rsidR="00857B60" w:rsidRPr="0094561D">
        <w:rPr>
          <w:rFonts w:asciiTheme="minorHAnsi" w:eastAsia="Arial" w:hAnsiTheme="minorHAnsi" w:cstheme="minorHAnsi"/>
          <w:bCs/>
          <w:color w:val="auto"/>
          <w:sz w:val="21"/>
          <w:szCs w:val="21"/>
        </w:rPr>
        <w:t xml:space="preserve">In a margin </w:t>
      </w:r>
      <w:r w:rsidR="00B122B8" w:rsidRPr="0094561D">
        <w:rPr>
          <w:rFonts w:asciiTheme="minorHAnsi" w:eastAsia="Arial" w:hAnsiTheme="minorHAnsi" w:cstheme="minorHAnsi"/>
          <w:bCs/>
          <w:color w:val="auto"/>
          <w:sz w:val="21"/>
          <w:szCs w:val="21"/>
        </w:rPr>
        <w:t xml:space="preserve">brokerage </w:t>
      </w:r>
      <w:r w:rsidR="00857B60" w:rsidRPr="0094561D">
        <w:rPr>
          <w:rFonts w:asciiTheme="minorHAnsi" w:eastAsia="Arial" w:hAnsiTheme="minorHAnsi" w:cstheme="minorHAnsi"/>
          <w:bCs/>
          <w:color w:val="auto"/>
          <w:sz w:val="21"/>
          <w:szCs w:val="21"/>
        </w:rPr>
        <w:t xml:space="preserve">account, you must pay for your purchases in full, but </w:t>
      </w:r>
      <w:r w:rsidR="00CF7059" w:rsidRPr="0094561D">
        <w:rPr>
          <w:rFonts w:asciiTheme="minorHAnsi" w:eastAsia="Arial" w:hAnsiTheme="minorHAnsi" w:cstheme="minorHAnsi"/>
          <w:bCs/>
          <w:color w:val="auto"/>
          <w:sz w:val="21"/>
          <w:szCs w:val="21"/>
        </w:rPr>
        <w:t xml:space="preserve">you may </w:t>
      </w:r>
      <w:r w:rsidR="00CD47CA" w:rsidRPr="0094561D">
        <w:rPr>
          <w:rFonts w:asciiTheme="minorHAnsi" w:eastAsia="Arial" w:hAnsiTheme="minorHAnsi" w:cstheme="minorHAnsi"/>
          <w:bCs/>
          <w:color w:val="auto"/>
          <w:sz w:val="21"/>
          <w:szCs w:val="21"/>
        </w:rPr>
        <w:t xml:space="preserve">simultaneously </w:t>
      </w:r>
      <w:r w:rsidR="00CF7059" w:rsidRPr="0094561D">
        <w:rPr>
          <w:rFonts w:asciiTheme="minorHAnsi" w:eastAsia="Arial" w:hAnsiTheme="minorHAnsi" w:cstheme="minorHAnsi"/>
          <w:bCs/>
          <w:color w:val="auto"/>
          <w:sz w:val="21"/>
          <w:szCs w:val="21"/>
        </w:rPr>
        <w:t>borrow</w:t>
      </w:r>
      <w:r w:rsidR="00CD47CA" w:rsidRPr="0094561D">
        <w:rPr>
          <w:rFonts w:asciiTheme="minorHAnsi" w:eastAsia="Arial" w:hAnsiTheme="minorHAnsi" w:cstheme="minorHAnsi"/>
          <w:bCs/>
          <w:color w:val="auto"/>
          <w:sz w:val="21"/>
          <w:szCs w:val="21"/>
        </w:rPr>
        <w:t xml:space="preserve"> funds from Pershing to cover a portion of the cost</w:t>
      </w:r>
      <w:r w:rsidR="00CF7059" w:rsidRPr="0094561D">
        <w:rPr>
          <w:rFonts w:asciiTheme="minorHAnsi" w:eastAsia="Arial" w:hAnsiTheme="minorHAnsi" w:cstheme="minorHAnsi"/>
          <w:bCs/>
          <w:color w:val="auto"/>
          <w:sz w:val="21"/>
          <w:szCs w:val="21"/>
        </w:rPr>
        <w:t xml:space="preserve"> of the purchase price</w:t>
      </w:r>
      <w:r w:rsidR="001B01E1" w:rsidRPr="0094561D">
        <w:rPr>
          <w:rFonts w:asciiTheme="minorHAnsi" w:eastAsia="Arial" w:hAnsiTheme="minorHAnsi" w:cstheme="minorHAnsi"/>
          <w:bCs/>
          <w:color w:val="auto"/>
          <w:sz w:val="21"/>
          <w:szCs w:val="21"/>
        </w:rPr>
        <w:t>.</w:t>
      </w:r>
      <w:r w:rsidR="00600757" w:rsidRPr="0094561D">
        <w:rPr>
          <w:rFonts w:asciiTheme="minorHAnsi" w:eastAsia="Arial" w:hAnsiTheme="minorHAnsi" w:cstheme="minorHAnsi"/>
          <w:bCs/>
          <w:color w:val="auto"/>
          <w:sz w:val="21"/>
          <w:szCs w:val="21"/>
        </w:rPr>
        <w:t xml:space="preserve"> </w:t>
      </w:r>
      <w:r w:rsidR="00C85B66" w:rsidRPr="0094561D">
        <w:rPr>
          <w:rFonts w:asciiTheme="minorHAnsi" w:eastAsia="Arial" w:hAnsiTheme="minorHAnsi" w:cstheme="minorHAnsi"/>
          <w:bCs/>
          <w:color w:val="auto"/>
          <w:sz w:val="21"/>
          <w:szCs w:val="21"/>
        </w:rPr>
        <w:t xml:space="preserve">This is generally referred to as a “margin loan.” </w:t>
      </w:r>
      <w:r w:rsidR="006770EC" w:rsidRPr="0094561D">
        <w:rPr>
          <w:rFonts w:asciiTheme="minorHAnsi" w:eastAsia="Arial" w:hAnsiTheme="minorHAnsi" w:cstheme="minorHAnsi"/>
          <w:bCs/>
          <w:color w:val="auto"/>
          <w:sz w:val="21"/>
          <w:szCs w:val="21"/>
        </w:rPr>
        <w:t xml:space="preserve">The portion of the </w:t>
      </w:r>
      <w:r w:rsidR="00CD47CA" w:rsidRPr="0094561D">
        <w:rPr>
          <w:rFonts w:asciiTheme="minorHAnsi" w:eastAsia="Arial" w:hAnsiTheme="minorHAnsi" w:cstheme="minorHAnsi"/>
          <w:bCs/>
          <w:color w:val="auto"/>
          <w:sz w:val="21"/>
          <w:szCs w:val="21"/>
        </w:rPr>
        <w:t xml:space="preserve">cost of your </w:t>
      </w:r>
      <w:r w:rsidR="006770EC" w:rsidRPr="0094561D">
        <w:rPr>
          <w:rFonts w:asciiTheme="minorHAnsi" w:eastAsia="Arial" w:hAnsiTheme="minorHAnsi" w:cstheme="minorHAnsi"/>
          <w:bCs/>
          <w:color w:val="auto"/>
          <w:sz w:val="21"/>
          <w:szCs w:val="21"/>
        </w:rPr>
        <w:t xml:space="preserve">purchase </w:t>
      </w:r>
      <w:r w:rsidR="00CF7059" w:rsidRPr="0094561D">
        <w:rPr>
          <w:rFonts w:asciiTheme="minorHAnsi" w:eastAsia="Arial" w:hAnsiTheme="minorHAnsi" w:cstheme="minorHAnsi"/>
          <w:bCs/>
          <w:color w:val="auto"/>
          <w:sz w:val="21"/>
          <w:szCs w:val="21"/>
        </w:rPr>
        <w:t xml:space="preserve">is </w:t>
      </w:r>
      <w:r w:rsidR="006770EC" w:rsidRPr="0094561D">
        <w:rPr>
          <w:rFonts w:asciiTheme="minorHAnsi" w:eastAsia="Arial" w:hAnsiTheme="minorHAnsi" w:cstheme="minorHAnsi"/>
          <w:bCs/>
          <w:color w:val="auto"/>
          <w:sz w:val="21"/>
          <w:szCs w:val="21"/>
        </w:rPr>
        <w:t>loan</w:t>
      </w:r>
      <w:r w:rsidR="00CF7059" w:rsidRPr="0094561D">
        <w:rPr>
          <w:rFonts w:asciiTheme="minorHAnsi" w:eastAsia="Arial" w:hAnsiTheme="minorHAnsi" w:cstheme="minorHAnsi"/>
          <w:bCs/>
          <w:color w:val="auto"/>
          <w:sz w:val="21"/>
          <w:szCs w:val="21"/>
        </w:rPr>
        <w:t>ed</w:t>
      </w:r>
      <w:r w:rsidR="006770EC" w:rsidRPr="0094561D">
        <w:rPr>
          <w:rFonts w:asciiTheme="minorHAnsi" w:eastAsia="Arial" w:hAnsiTheme="minorHAnsi" w:cstheme="minorHAnsi"/>
          <w:bCs/>
          <w:color w:val="auto"/>
          <w:sz w:val="21"/>
          <w:szCs w:val="21"/>
        </w:rPr>
        <w:t xml:space="preserve"> </w:t>
      </w:r>
      <w:r w:rsidR="00CD47CA" w:rsidRPr="0094561D">
        <w:rPr>
          <w:rFonts w:asciiTheme="minorHAnsi" w:eastAsia="Arial" w:hAnsiTheme="minorHAnsi" w:cstheme="minorHAnsi"/>
          <w:bCs/>
          <w:color w:val="auto"/>
          <w:sz w:val="21"/>
          <w:szCs w:val="21"/>
        </w:rPr>
        <w:t xml:space="preserve">to </w:t>
      </w:r>
      <w:r w:rsidR="006770EC" w:rsidRPr="0094561D">
        <w:rPr>
          <w:rFonts w:asciiTheme="minorHAnsi" w:eastAsia="Arial" w:hAnsiTheme="minorHAnsi" w:cstheme="minorHAnsi"/>
          <w:bCs/>
          <w:color w:val="auto"/>
          <w:sz w:val="21"/>
          <w:szCs w:val="21"/>
        </w:rPr>
        <w:t xml:space="preserve">you </w:t>
      </w:r>
      <w:r w:rsidR="00CD47CA" w:rsidRPr="0094561D">
        <w:rPr>
          <w:rFonts w:asciiTheme="minorHAnsi" w:eastAsia="Arial" w:hAnsiTheme="minorHAnsi" w:cstheme="minorHAnsi"/>
          <w:bCs/>
          <w:color w:val="auto"/>
          <w:sz w:val="21"/>
          <w:szCs w:val="21"/>
        </w:rPr>
        <w:t>and</w:t>
      </w:r>
      <w:r w:rsidR="006770EC" w:rsidRPr="0094561D">
        <w:rPr>
          <w:rFonts w:asciiTheme="minorHAnsi" w:eastAsia="Arial" w:hAnsiTheme="minorHAnsi" w:cstheme="minorHAnsi"/>
          <w:bCs/>
          <w:color w:val="auto"/>
          <w:sz w:val="21"/>
          <w:szCs w:val="21"/>
        </w:rPr>
        <w:t xml:space="preserve"> secured by</w:t>
      </w:r>
      <w:r w:rsidR="00CD47CA" w:rsidRPr="0094561D">
        <w:rPr>
          <w:rFonts w:asciiTheme="minorHAnsi" w:eastAsia="Arial" w:hAnsiTheme="minorHAnsi" w:cstheme="minorHAnsi"/>
          <w:bCs/>
          <w:color w:val="auto"/>
          <w:sz w:val="21"/>
          <w:szCs w:val="21"/>
        </w:rPr>
        <w:t xml:space="preserve"> the</w:t>
      </w:r>
      <w:r w:rsidR="006770EC" w:rsidRPr="0094561D">
        <w:rPr>
          <w:rFonts w:asciiTheme="minorHAnsi" w:eastAsia="Arial" w:hAnsiTheme="minorHAnsi" w:cstheme="minorHAnsi"/>
          <w:bCs/>
          <w:color w:val="auto"/>
          <w:sz w:val="21"/>
          <w:szCs w:val="21"/>
        </w:rPr>
        <w:t xml:space="preserve"> securities </w:t>
      </w:r>
      <w:r w:rsidRPr="0094561D">
        <w:rPr>
          <w:rFonts w:asciiTheme="minorHAnsi" w:eastAsia="Arial" w:hAnsiTheme="minorHAnsi" w:cstheme="minorHAnsi"/>
          <w:bCs/>
          <w:color w:val="auto"/>
          <w:sz w:val="21"/>
          <w:szCs w:val="21"/>
        </w:rPr>
        <w:t>in your account</w:t>
      </w:r>
      <w:r w:rsidR="00BF6B0E" w:rsidRPr="0094561D">
        <w:rPr>
          <w:rFonts w:asciiTheme="minorHAnsi" w:eastAsia="Arial" w:hAnsiTheme="minorHAnsi" w:cstheme="minorHAnsi"/>
          <w:bCs/>
          <w:color w:val="auto"/>
          <w:sz w:val="21"/>
          <w:szCs w:val="21"/>
        </w:rPr>
        <w:t>, also referred to as “collateral.”</w:t>
      </w:r>
      <w:r w:rsidR="006770EC" w:rsidRPr="0094561D">
        <w:rPr>
          <w:rFonts w:asciiTheme="minorHAnsi" w:eastAsia="Arial" w:hAnsiTheme="minorHAnsi" w:cstheme="minorHAnsi"/>
          <w:bCs/>
          <w:color w:val="auto"/>
          <w:sz w:val="21"/>
          <w:szCs w:val="21"/>
        </w:rPr>
        <w:t xml:space="preserve"> </w:t>
      </w:r>
      <w:r w:rsidR="00292274" w:rsidRPr="0094561D">
        <w:rPr>
          <w:rFonts w:asciiTheme="minorHAnsi" w:eastAsia="Arial" w:hAnsiTheme="minorHAnsi" w:cstheme="minorHAnsi"/>
          <w:bCs/>
          <w:color w:val="auto"/>
          <w:sz w:val="21"/>
          <w:szCs w:val="21"/>
        </w:rPr>
        <w:t xml:space="preserve">You will incur interest costs as a result of your margin activity. </w:t>
      </w:r>
      <w:r w:rsidR="00B122B8" w:rsidRPr="0094561D">
        <w:rPr>
          <w:rFonts w:asciiTheme="minorHAnsi" w:eastAsia="Arial" w:hAnsiTheme="minorHAnsi" w:cstheme="minorHAnsi"/>
          <w:bCs/>
          <w:color w:val="auto"/>
          <w:sz w:val="21"/>
          <w:szCs w:val="21"/>
        </w:rPr>
        <w:t>While m</w:t>
      </w:r>
      <w:r w:rsidR="006770EC" w:rsidRPr="0094561D">
        <w:rPr>
          <w:rFonts w:asciiTheme="minorHAnsi" w:eastAsia="Arial" w:hAnsiTheme="minorHAnsi" w:cstheme="minorHAnsi"/>
          <w:bCs/>
          <w:color w:val="auto"/>
          <w:sz w:val="21"/>
          <w:szCs w:val="21"/>
        </w:rPr>
        <w:t>any</w:t>
      </w:r>
      <w:r w:rsidR="00B122B8" w:rsidRPr="0094561D">
        <w:rPr>
          <w:rFonts w:asciiTheme="minorHAnsi" w:eastAsia="Arial" w:hAnsiTheme="minorHAnsi" w:cstheme="minorHAnsi"/>
          <w:bCs/>
          <w:color w:val="auto"/>
          <w:sz w:val="21"/>
          <w:szCs w:val="21"/>
        </w:rPr>
        <w:t xml:space="preserve"> securities are eligible to be used as collateral</w:t>
      </w:r>
      <w:r w:rsidR="006770EC" w:rsidRPr="0094561D">
        <w:rPr>
          <w:rFonts w:asciiTheme="minorHAnsi" w:eastAsia="Arial" w:hAnsiTheme="minorHAnsi" w:cstheme="minorHAnsi"/>
          <w:bCs/>
          <w:color w:val="auto"/>
          <w:sz w:val="21"/>
          <w:szCs w:val="21"/>
        </w:rPr>
        <w:t xml:space="preserve"> for </w:t>
      </w:r>
      <w:r w:rsidR="000D1043" w:rsidRPr="0094561D">
        <w:rPr>
          <w:rFonts w:asciiTheme="minorHAnsi" w:eastAsia="Arial" w:hAnsiTheme="minorHAnsi" w:cstheme="minorHAnsi"/>
          <w:bCs/>
          <w:color w:val="auto"/>
          <w:sz w:val="21"/>
          <w:szCs w:val="21"/>
        </w:rPr>
        <w:t>a</w:t>
      </w:r>
      <w:r w:rsidR="006770EC" w:rsidRPr="0094561D">
        <w:rPr>
          <w:rFonts w:asciiTheme="minorHAnsi" w:eastAsia="Arial" w:hAnsiTheme="minorHAnsi" w:cstheme="minorHAnsi"/>
          <w:bCs/>
          <w:color w:val="auto"/>
          <w:sz w:val="21"/>
          <w:szCs w:val="21"/>
        </w:rPr>
        <w:t xml:space="preserve"> margin loan</w:t>
      </w:r>
      <w:r w:rsidR="00B122B8" w:rsidRPr="0094561D">
        <w:rPr>
          <w:rFonts w:asciiTheme="minorHAnsi" w:eastAsia="Arial" w:hAnsiTheme="minorHAnsi" w:cstheme="minorHAnsi"/>
          <w:bCs/>
          <w:color w:val="auto"/>
          <w:sz w:val="21"/>
          <w:szCs w:val="21"/>
        </w:rPr>
        <w:t xml:space="preserve">, some assets are not available </w:t>
      </w:r>
      <w:r w:rsidR="00BF6B0E" w:rsidRPr="0094561D">
        <w:rPr>
          <w:rFonts w:asciiTheme="minorHAnsi" w:eastAsia="Arial" w:hAnsiTheme="minorHAnsi" w:cstheme="minorHAnsi"/>
          <w:bCs/>
          <w:color w:val="auto"/>
          <w:sz w:val="21"/>
          <w:szCs w:val="21"/>
        </w:rPr>
        <w:t>for</w:t>
      </w:r>
      <w:r w:rsidR="00B122B8" w:rsidRPr="0094561D">
        <w:rPr>
          <w:rFonts w:asciiTheme="minorHAnsi" w:eastAsia="Arial" w:hAnsiTheme="minorHAnsi" w:cstheme="minorHAnsi"/>
          <w:bCs/>
          <w:color w:val="auto"/>
          <w:sz w:val="21"/>
          <w:szCs w:val="21"/>
        </w:rPr>
        <w:t xml:space="preserve"> margin</w:t>
      </w:r>
      <w:r w:rsidR="001A6A31" w:rsidRPr="0094561D">
        <w:rPr>
          <w:rFonts w:asciiTheme="minorHAnsi" w:eastAsia="Arial" w:hAnsiTheme="minorHAnsi" w:cstheme="minorHAnsi"/>
          <w:bCs/>
          <w:color w:val="auto"/>
          <w:sz w:val="21"/>
          <w:szCs w:val="21"/>
        </w:rPr>
        <w:t xml:space="preserve"> collateral purposes</w:t>
      </w:r>
      <w:r w:rsidR="00B122B8" w:rsidRPr="0094561D">
        <w:rPr>
          <w:rFonts w:asciiTheme="minorHAnsi" w:eastAsia="Arial" w:hAnsiTheme="minorHAnsi" w:cstheme="minorHAnsi"/>
          <w:bCs/>
          <w:color w:val="auto"/>
          <w:sz w:val="21"/>
          <w:szCs w:val="21"/>
        </w:rPr>
        <w:t xml:space="preserve">. </w:t>
      </w:r>
    </w:p>
    <w:p w14:paraId="413888B1" w14:textId="77777777" w:rsidR="00C85B66" w:rsidRPr="0094561D" w:rsidRDefault="00C85B66" w:rsidP="00412143">
      <w:pPr>
        <w:pStyle w:val="Default0"/>
        <w:ind w:left="144"/>
        <w:jc w:val="both"/>
        <w:rPr>
          <w:rFonts w:asciiTheme="minorHAnsi" w:eastAsia="Arial" w:hAnsiTheme="minorHAnsi" w:cstheme="minorHAnsi"/>
          <w:bCs/>
          <w:color w:val="auto"/>
          <w:sz w:val="21"/>
          <w:szCs w:val="21"/>
        </w:rPr>
      </w:pPr>
    </w:p>
    <w:p w14:paraId="30E0BA48" w14:textId="38B89085" w:rsidR="009C417A" w:rsidRPr="0094561D" w:rsidRDefault="00075106" w:rsidP="00412143">
      <w:pPr>
        <w:pStyle w:val="Default0"/>
        <w:ind w:left="144"/>
        <w:jc w:val="both"/>
        <w:rPr>
          <w:rFonts w:asciiTheme="minorHAnsi" w:eastAsia="Arial" w:hAnsiTheme="minorHAnsi" w:cstheme="minorHAnsi"/>
          <w:bCs/>
          <w:color w:val="auto"/>
          <w:sz w:val="21"/>
          <w:szCs w:val="21"/>
        </w:rPr>
      </w:pPr>
      <w:r w:rsidRPr="0094561D">
        <w:rPr>
          <w:rFonts w:asciiTheme="minorHAnsi" w:eastAsia="Arial" w:hAnsiTheme="minorHAnsi" w:cstheme="minorHAnsi"/>
          <w:bCs/>
          <w:color w:val="auto"/>
          <w:sz w:val="21"/>
          <w:szCs w:val="21"/>
        </w:rPr>
        <w:t xml:space="preserve">Given that a margin-enabled brokerage account has </w:t>
      </w:r>
      <w:r w:rsidR="000D1043" w:rsidRPr="0094561D">
        <w:rPr>
          <w:rFonts w:asciiTheme="minorHAnsi" w:eastAsia="Arial" w:hAnsiTheme="minorHAnsi" w:cstheme="minorHAnsi"/>
          <w:bCs/>
          <w:color w:val="auto"/>
          <w:sz w:val="21"/>
          <w:szCs w:val="21"/>
        </w:rPr>
        <w:t>specific</w:t>
      </w:r>
      <w:r w:rsidR="00C85B66" w:rsidRPr="0094561D">
        <w:rPr>
          <w:rFonts w:asciiTheme="minorHAnsi" w:eastAsia="Arial" w:hAnsiTheme="minorHAnsi" w:cstheme="minorHAnsi"/>
          <w:bCs/>
          <w:color w:val="auto"/>
          <w:sz w:val="21"/>
          <w:szCs w:val="21"/>
        </w:rPr>
        <w:t xml:space="preserve"> eligibility requiremen</w:t>
      </w:r>
      <w:r w:rsidR="00BF6B0E" w:rsidRPr="0094561D">
        <w:rPr>
          <w:rFonts w:asciiTheme="minorHAnsi" w:eastAsia="Arial" w:hAnsiTheme="minorHAnsi" w:cstheme="minorHAnsi"/>
          <w:bCs/>
          <w:color w:val="auto"/>
          <w:sz w:val="21"/>
          <w:szCs w:val="21"/>
        </w:rPr>
        <w:t>ts</w:t>
      </w:r>
      <w:r w:rsidRPr="0094561D">
        <w:rPr>
          <w:rFonts w:asciiTheme="minorHAnsi" w:eastAsia="Arial" w:hAnsiTheme="minorHAnsi" w:cstheme="minorHAnsi"/>
          <w:bCs/>
          <w:color w:val="auto"/>
          <w:sz w:val="21"/>
          <w:szCs w:val="21"/>
        </w:rPr>
        <w:t>,</w:t>
      </w:r>
      <w:r w:rsidR="00C77D3C" w:rsidRPr="0094561D">
        <w:rPr>
          <w:rFonts w:asciiTheme="minorHAnsi" w:eastAsia="Arial" w:hAnsiTheme="minorHAnsi" w:cstheme="minorHAnsi"/>
          <w:bCs/>
          <w:color w:val="auto"/>
          <w:sz w:val="21"/>
          <w:szCs w:val="21"/>
        </w:rPr>
        <w:t xml:space="preserve"> </w:t>
      </w:r>
      <w:r w:rsidR="00DA72DC" w:rsidRPr="0094561D">
        <w:rPr>
          <w:rFonts w:asciiTheme="minorHAnsi" w:eastAsia="Arial" w:hAnsiTheme="minorHAnsi" w:cstheme="minorHAnsi"/>
          <w:bCs/>
          <w:color w:val="auto"/>
          <w:sz w:val="21"/>
          <w:szCs w:val="21"/>
        </w:rPr>
        <w:t xml:space="preserve">unique </w:t>
      </w:r>
      <w:r w:rsidR="00C77D3C" w:rsidRPr="0094561D">
        <w:rPr>
          <w:rFonts w:asciiTheme="minorHAnsi" w:eastAsia="Arial" w:hAnsiTheme="minorHAnsi" w:cstheme="minorHAnsi"/>
          <w:bCs/>
          <w:color w:val="auto"/>
          <w:sz w:val="21"/>
          <w:szCs w:val="21"/>
        </w:rPr>
        <w:t>costs</w:t>
      </w:r>
      <w:r w:rsidR="00DA72DC" w:rsidRPr="0094561D">
        <w:rPr>
          <w:rFonts w:asciiTheme="minorHAnsi" w:eastAsia="Arial" w:hAnsiTheme="minorHAnsi" w:cstheme="minorHAnsi"/>
          <w:bCs/>
          <w:color w:val="auto"/>
          <w:sz w:val="21"/>
          <w:szCs w:val="21"/>
        </w:rPr>
        <w:t>,</w:t>
      </w:r>
      <w:r w:rsidR="00C85B66" w:rsidRPr="0094561D">
        <w:rPr>
          <w:rFonts w:asciiTheme="minorHAnsi" w:eastAsia="Arial" w:hAnsiTheme="minorHAnsi" w:cstheme="minorHAnsi"/>
          <w:bCs/>
          <w:color w:val="auto"/>
          <w:sz w:val="21"/>
          <w:szCs w:val="21"/>
        </w:rPr>
        <w:t xml:space="preserve"> </w:t>
      </w:r>
      <w:r w:rsidR="00C77D3C" w:rsidRPr="0094561D">
        <w:rPr>
          <w:rFonts w:asciiTheme="minorHAnsi" w:eastAsia="Arial" w:hAnsiTheme="minorHAnsi" w:cstheme="minorHAnsi"/>
          <w:bCs/>
          <w:color w:val="auto"/>
          <w:sz w:val="21"/>
          <w:szCs w:val="21"/>
        </w:rPr>
        <w:t xml:space="preserve">and governing regulatory requirements, </w:t>
      </w:r>
      <w:r w:rsidRPr="0094561D">
        <w:rPr>
          <w:rFonts w:asciiTheme="minorHAnsi" w:eastAsia="Arial" w:hAnsiTheme="minorHAnsi" w:cstheme="minorHAnsi"/>
          <w:bCs/>
          <w:color w:val="auto"/>
          <w:sz w:val="21"/>
          <w:szCs w:val="21"/>
        </w:rPr>
        <w:t xml:space="preserve">our default brokerage </w:t>
      </w:r>
      <w:r w:rsidR="00B327E8" w:rsidRPr="0094561D">
        <w:rPr>
          <w:rFonts w:asciiTheme="minorHAnsi" w:eastAsia="Arial" w:hAnsiTheme="minorHAnsi" w:cstheme="minorHAnsi"/>
          <w:bCs/>
          <w:color w:val="auto"/>
          <w:sz w:val="21"/>
          <w:szCs w:val="21"/>
        </w:rPr>
        <w:t>option</w:t>
      </w:r>
      <w:r w:rsidRPr="0094561D">
        <w:rPr>
          <w:rFonts w:asciiTheme="minorHAnsi" w:eastAsia="Arial" w:hAnsiTheme="minorHAnsi" w:cstheme="minorHAnsi"/>
          <w:bCs/>
          <w:color w:val="auto"/>
          <w:sz w:val="21"/>
          <w:szCs w:val="21"/>
        </w:rPr>
        <w:t xml:space="preserve"> </w:t>
      </w:r>
      <w:r w:rsidR="00D56909" w:rsidRPr="0094561D">
        <w:rPr>
          <w:rFonts w:asciiTheme="minorHAnsi" w:eastAsia="Arial" w:hAnsiTheme="minorHAnsi" w:cstheme="minorHAnsi"/>
          <w:bCs/>
          <w:color w:val="auto"/>
          <w:sz w:val="21"/>
          <w:szCs w:val="21"/>
        </w:rPr>
        <w:t xml:space="preserve">is our cash brokerage account. </w:t>
      </w:r>
      <w:r w:rsidR="008D2421" w:rsidRPr="0094561D">
        <w:rPr>
          <w:rFonts w:asciiTheme="minorHAnsi" w:eastAsia="Arial" w:hAnsiTheme="minorHAnsi" w:cstheme="minorHAnsi"/>
          <w:bCs/>
          <w:color w:val="auto"/>
          <w:sz w:val="21"/>
          <w:szCs w:val="21"/>
        </w:rPr>
        <w:t xml:space="preserve">We do not recommend margin in our customer accounts; </w:t>
      </w:r>
      <w:r w:rsidR="001B01E1" w:rsidRPr="0094561D">
        <w:rPr>
          <w:rFonts w:asciiTheme="minorHAnsi" w:eastAsia="Arial" w:hAnsiTheme="minorHAnsi" w:cstheme="minorHAnsi"/>
          <w:bCs/>
          <w:color w:val="auto"/>
          <w:sz w:val="21"/>
          <w:szCs w:val="21"/>
        </w:rPr>
        <w:t>however,</w:t>
      </w:r>
      <w:r w:rsidR="008D2421" w:rsidRPr="0094561D">
        <w:rPr>
          <w:rFonts w:asciiTheme="minorHAnsi" w:eastAsia="Arial" w:hAnsiTheme="minorHAnsi" w:cstheme="minorHAnsi"/>
          <w:bCs/>
          <w:color w:val="auto"/>
          <w:sz w:val="21"/>
          <w:szCs w:val="21"/>
        </w:rPr>
        <w:t xml:space="preserve"> we may choose to accommodate a request from our customer on an unsolicited basis. </w:t>
      </w:r>
      <w:r w:rsidR="00D56909" w:rsidRPr="0094561D">
        <w:rPr>
          <w:rFonts w:asciiTheme="minorHAnsi" w:eastAsia="Arial" w:hAnsiTheme="minorHAnsi" w:cstheme="minorHAnsi"/>
          <w:bCs/>
          <w:color w:val="auto"/>
          <w:sz w:val="21"/>
          <w:szCs w:val="21"/>
        </w:rPr>
        <w:t xml:space="preserve">You must execute a separate </w:t>
      </w:r>
      <w:r w:rsidR="00C85B66" w:rsidRPr="0094561D">
        <w:rPr>
          <w:rFonts w:asciiTheme="minorHAnsi" w:eastAsia="Arial" w:hAnsiTheme="minorHAnsi" w:cstheme="minorHAnsi"/>
          <w:bCs/>
          <w:color w:val="auto"/>
          <w:sz w:val="21"/>
          <w:szCs w:val="21"/>
        </w:rPr>
        <w:t>m</w:t>
      </w:r>
      <w:r w:rsidR="00D56909" w:rsidRPr="0094561D">
        <w:rPr>
          <w:rFonts w:asciiTheme="minorHAnsi" w:eastAsia="Arial" w:hAnsiTheme="minorHAnsi" w:cstheme="minorHAnsi"/>
          <w:bCs/>
          <w:color w:val="auto"/>
          <w:sz w:val="21"/>
          <w:szCs w:val="21"/>
        </w:rPr>
        <w:t xml:space="preserve">argin </w:t>
      </w:r>
      <w:r w:rsidR="00C85B66" w:rsidRPr="0094561D">
        <w:rPr>
          <w:rFonts w:asciiTheme="minorHAnsi" w:eastAsia="Arial" w:hAnsiTheme="minorHAnsi" w:cstheme="minorHAnsi"/>
          <w:bCs/>
          <w:color w:val="auto"/>
          <w:sz w:val="21"/>
          <w:szCs w:val="21"/>
        </w:rPr>
        <w:t>a</w:t>
      </w:r>
      <w:r w:rsidR="00D56909" w:rsidRPr="0094561D">
        <w:rPr>
          <w:rFonts w:asciiTheme="minorHAnsi" w:eastAsia="Arial" w:hAnsiTheme="minorHAnsi" w:cstheme="minorHAnsi"/>
          <w:bCs/>
          <w:color w:val="auto"/>
          <w:sz w:val="21"/>
          <w:szCs w:val="21"/>
        </w:rPr>
        <w:t xml:space="preserve">greement before engaging in margin brokerage activity. Included with </w:t>
      </w:r>
      <w:r w:rsidR="00C85B66" w:rsidRPr="0094561D">
        <w:rPr>
          <w:rFonts w:asciiTheme="minorHAnsi" w:eastAsia="Arial" w:hAnsiTheme="minorHAnsi" w:cstheme="minorHAnsi"/>
          <w:bCs/>
          <w:color w:val="auto"/>
          <w:sz w:val="21"/>
          <w:szCs w:val="21"/>
        </w:rPr>
        <w:t xml:space="preserve">your </w:t>
      </w:r>
      <w:r w:rsidR="00D56909" w:rsidRPr="0094561D">
        <w:rPr>
          <w:rFonts w:asciiTheme="minorHAnsi" w:eastAsia="Arial" w:hAnsiTheme="minorHAnsi" w:cstheme="minorHAnsi"/>
          <w:bCs/>
          <w:color w:val="auto"/>
          <w:sz w:val="21"/>
          <w:szCs w:val="21"/>
        </w:rPr>
        <w:t xml:space="preserve">margin agreement is a copy of the </w:t>
      </w:r>
      <w:r w:rsidR="00D56909" w:rsidRPr="0094561D">
        <w:rPr>
          <w:rFonts w:asciiTheme="minorHAnsi" w:eastAsia="Arial" w:hAnsiTheme="minorHAnsi" w:cstheme="minorHAnsi"/>
          <w:bCs/>
          <w:sz w:val="21"/>
          <w:szCs w:val="21"/>
        </w:rPr>
        <w:t>Margin Disclosure Statement</w:t>
      </w:r>
      <w:r w:rsidR="00D56909" w:rsidRPr="0094561D">
        <w:rPr>
          <w:rFonts w:asciiTheme="minorHAnsi" w:eastAsia="Arial" w:hAnsiTheme="minorHAnsi" w:cstheme="minorHAnsi"/>
          <w:bCs/>
          <w:color w:val="auto"/>
          <w:sz w:val="21"/>
          <w:szCs w:val="21"/>
        </w:rPr>
        <w:t xml:space="preserve">. This statement </w:t>
      </w:r>
      <w:r w:rsidR="00DA72DC" w:rsidRPr="0094561D">
        <w:rPr>
          <w:rFonts w:asciiTheme="minorHAnsi" w:eastAsia="Arial" w:hAnsiTheme="minorHAnsi" w:cstheme="minorHAnsi"/>
          <w:bCs/>
          <w:color w:val="auto"/>
          <w:sz w:val="21"/>
          <w:szCs w:val="21"/>
        </w:rPr>
        <w:t>contains</w:t>
      </w:r>
      <w:r w:rsidR="00D56909" w:rsidRPr="0094561D">
        <w:rPr>
          <w:rFonts w:asciiTheme="minorHAnsi" w:eastAsia="Arial" w:hAnsiTheme="minorHAnsi" w:cstheme="minorHAnsi"/>
          <w:bCs/>
          <w:color w:val="auto"/>
          <w:sz w:val="21"/>
          <w:szCs w:val="21"/>
        </w:rPr>
        <w:t xml:space="preserve"> important information you should understand and consider before establishing a margin brokerage relationship</w:t>
      </w:r>
      <w:r w:rsidR="0035224D" w:rsidRPr="0094561D">
        <w:rPr>
          <w:rFonts w:asciiTheme="minorHAnsi" w:eastAsia="Arial" w:hAnsiTheme="minorHAnsi" w:cstheme="minorHAnsi"/>
          <w:bCs/>
          <w:color w:val="auto"/>
          <w:sz w:val="21"/>
          <w:szCs w:val="21"/>
        </w:rPr>
        <w:t xml:space="preserve"> with us</w:t>
      </w:r>
      <w:r w:rsidR="00D56909" w:rsidRPr="0094561D">
        <w:rPr>
          <w:rFonts w:asciiTheme="minorHAnsi" w:eastAsia="Arial" w:hAnsiTheme="minorHAnsi" w:cstheme="minorHAnsi"/>
          <w:bCs/>
          <w:color w:val="auto"/>
          <w:sz w:val="21"/>
          <w:szCs w:val="21"/>
        </w:rPr>
        <w:t>.</w:t>
      </w:r>
      <w:r w:rsidR="00C77D3C" w:rsidRPr="0094561D">
        <w:rPr>
          <w:rFonts w:asciiTheme="minorHAnsi" w:eastAsia="Arial" w:hAnsiTheme="minorHAnsi" w:cstheme="minorHAnsi"/>
          <w:bCs/>
          <w:color w:val="auto"/>
          <w:sz w:val="21"/>
          <w:szCs w:val="21"/>
        </w:rPr>
        <w:t xml:space="preserve"> </w:t>
      </w:r>
      <w:r w:rsidRPr="0094561D">
        <w:rPr>
          <w:rFonts w:asciiTheme="minorHAnsi" w:eastAsia="Arial" w:hAnsiTheme="minorHAnsi" w:cstheme="minorHAnsi"/>
          <w:bCs/>
          <w:color w:val="auto"/>
          <w:sz w:val="21"/>
          <w:szCs w:val="21"/>
        </w:rPr>
        <w:t>For more information on</w:t>
      </w:r>
      <w:r w:rsidR="00C77D3C" w:rsidRPr="0094561D">
        <w:rPr>
          <w:rFonts w:asciiTheme="minorHAnsi" w:eastAsia="Arial" w:hAnsiTheme="minorHAnsi" w:cstheme="minorHAnsi"/>
          <w:bCs/>
          <w:color w:val="auto"/>
          <w:sz w:val="21"/>
          <w:szCs w:val="21"/>
        </w:rPr>
        <w:t xml:space="preserve"> </w:t>
      </w:r>
      <w:r w:rsidR="00D56909" w:rsidRPr="0094561D">
        <w:rPr>
          <w:rFonts w:asciiTheme="minorHAnsi" w:eastAsia="Arial" w:hAnsiTheme="minorHAnsi" w:cstheme="minorHAnsi"/>
          <w:bCs/>
          <w:color w:val="auto"/>
          <w:sz w:val="21"/>
          <w:szCs w:val="21"/>
        </w:rPr>
        <w:t xml:space="preserve">our </w:t>
      </w:r>
      <w:r w:rsidRPr="0094561D">
        <w:rPr>
          <w:rFonts w:asciiTheme="minorHAnsi" w:eastAsia="Arial" w:hAnsiTheme="minorHAnsi" w:cstheme="minorHAnsi"/>
          <w:bCs/>
          <w:color w:val="auto"/>
          <w:sz w:val="21"/>
          <w:szCs w:val="21"/>
        </w:rPr>
        <w:t>margin brokerage services</w:t>
      </w:r>
      <w:r w:rsidR="00C77D3C" w:rsidRPr="0094561D">
        <w:rPr>
          <w:rFonts w:asciiTheme="minorHAnsi" w:eastAsia="Arial" w:hAnsiTheme="minorHAnsi" w:cstheme="minorHAnsi"/>
          <w:bCs/>
          <w:color w:val="auto"/>
          <w:sz w:val="21"/>
          <w:szCs w:val="21"/>
        </w:rPr>
        <w:t xml:space="preserve">, contact </w:t>
      </w:r>
      <w:r w:rsidR="008D2421" w:rsidRPr="0094561D">
        <w:rPr>
          <w:rFonts w:asciiTheme="minorHAnsi" w:eastAsia="Arial" w:hAnsiTheme="minorHAnsi" w:cstheme="minorHAnsi"/>
          <w:bCs/>
          <w:color w:val="auto"/>
          <w:sz w:val="21"/>
          <w:szCs w:val="21"/>
        </w:rPr>
        <w:t xml:space="preserve">your </w:t>
      </w:r>
      <w:r w:rsidR="00B76E7E">
        <w:rPr>
          <w:rFonts w:asciiTheme="minorHAnsi" w:eastAsia="Arial" w:hAnsiTheme="minorHAnsi" w:cstheme="minorHAnsi"/>
          <w:bCs/>
          <w:color w:val="auto"/>
          <w:sz w:val="21"/>
          <w:szCs w:val="21"/>
        </w:rPr>
        <w:t>T</w:t>
      </w:r>
      <w:r w:rsidR="00811BAB">
        <w:rPr>
          <w:rFonts w:asciiTheme="minorHAnsi" w:eastAsia="Arial" w:hAnsiTheme="minorHAnsi" w:cstheme="minorHAnsi"/>
          <w:bCs/>
          <w:color w:val="auto"/>
          <w:sz w:val="21"/>
          <w:szCs w:val="21"/>
        </w:rPr>
        <w:t>igress</w:t>
      </w:r>
      <w:r w:rsidR="008D2421" w:rsidRPr="0094561D">
        <w:rPr>
          <w:rFonts w:asciiTheme="minorHAnsi" w:eastAsia="Arial" w:hAnsiTheme="minorHAnsi" w:cstheme="minorHAnsi"/>
          <w:bCs/>
          <w:color w:val="auto"/>
          <w:sz w:val="21"/>
          <w:szCs w:val="21"/>
        </w:rPr>
        <w:t xml:space="preserve"> adviser or representative</w:t>
      </w:r>
      <w:r w:rsidR="00C77D3C" w:rsidRPr="0094561D">
        <w:rPr>
          <w:rFonts w:asciiTheme="minorHAnsi" w:eastAsia="Arial" w:hAnsiTheme="minorHAnsi" w:cstheme="minorHAnsi"/>
          <w:bCs/>
          <w:color w:val="auto"/>
          <w:sz w:val="21"/>
          <w:szCs w:val="21"/>
        </w:rPr>
        <w:t xml:space="preserve"> or refer to </w:t>
      </w:r>
      <w:r w:rsidR="00EE0452" w:rsidRPr="0094561D">
        <w:rPr>
          <w:rFonts w:asciiTheme="minorHAnsi" w:eastAsia="Arial" w:hAnsiTheme="minorHAnsi" w:cstheme="minorHAnsi"/>
          <w:bCs/>
          <w:color w:val="auto"/>
          <w:sz w:val="21"/>
          <w:szCs w:val="21"/>
        </w:rPr>
        <w:t>the clearing firm</w:t>
      </w:r>
      <w:r w:rsidR="00C77D3C" w:rsidRPr="0094561D">
        <w:rPr>
          <w:rFonts w:asciiTheme="minorHAnsi" w:eastAsia="Arial" w:hAnsiTheme="minorHAnsi" w:cstheme="minorHAnsi"/>
          <w:bCs/>
          <w:color w:val="auto"/>
          <w:sz w:val="21"/>
          <w:szCs w:val="21"/>
        </w:rPr>
        <w:t xml:space="preserve"> </w:t>
      </w:r>
      <w:r w:rsidR="00C77D3C" w:rsidRPr="0094561D">
        <w:rPr>
          <w:rFonts w:asciiTheme="minorHAnsi" w:eastAsia="Arial" w:hAnsiTheme="minorHAnsi" w:cstheme="minorHAnsi"/>
          <w:bCs/>
          <w:sz w:val="21"/>
          <w:szCs w:val="21"/>
        </w:rPr>
        <w:t>Margin Disclosure Statement</w:t>
      </w:r>
      <w:r w:rsidR="00C77D3C" w:rsidRPr="0094561D">
        <w:rPr>
          <w:rFonts w:asciiTheme="minorHAnsi" w:eastAsia="Arial" w:hAnsiTheme="minorHAnsi" w:cstheme="minorHAnsi"/>
          <w:bCs/>
          <w:color w:val="auto"/>
          <w:sz w:val="21"/>
          <w:szCs w:val="21"/>
        </w:rPr>
        <w:t xml:space="preserve"> available at </w:t>
      </w:r>
      <w:r w:rsidR="009F0E13">
        <w:rPr>
          <w:rFonts w:asciiTheme="minorHAnsi" w:eastAsia="Arial" w:hAnsiTheme="minorHAnsi" w:cstheme="minorHAnsi"/>
          <w:color w:val="0000FF"/>
          <w:sz w:val="22"/>
          <w:szCs w:val="22"/>
          <w:u w:val="single"/>
        </w:rPr>
        <w:fldChar w:fldCharType="begin"/>
      </w:r>
      <w:r w:rsidR="009F0E13">
        <w:rPr>
          <w:rFonts w:asciiTheme="minorHAnsi" w:eastAsia="Arial" w:hAnsiTheme="minorHAnsi" w:cstheme="minorHAnsi"/>
          <w:color w:val="0000FF"/>
          <w:sz w:val="22"/>
          <w:szCs w:val="22"/>
          <w:u w:val="single"/>
        </w:rPr>
        <w:instrText xml:space="preserve"> HYPERLINK "</w:instrText>
      </w:r>
      <w:commentRangeStart w:id="3"/>
      <w:r w:rsidR="009F0E13" w:rsidRPr="00BC37B1">
        <w:rPr>
          <w:rFonts w:asciiTheme="minorHAnsi" w:eastAsia="Arial" w:hAnsiTheme="minorHAnsi" w:cstheme="minorHAnsi"/>
          <w:color w:val="0000FF"/>
          <w:sz w:val="22"/>
          <w:szCs w:val="22"/>
          <w:u w:val="single"/>
        </w:rPr>
        <w:instrText>http://www.</w:instrText>
      </w:r>
      <w:r w:rsidR="009F0E13">
        <w:rPr>
          <w:rFonts w:asciiTheme="minorHAnsi" w:eastAsia="Arial" w:hAnsiTheme="minorHAnsi" w:cstheme="minorHAnsi"/>
          <w:color w:val="0000FF"/>
          <w:sz w:val="22"/>
          <w:szCs w:val="22"/>
          <w:u w:val="single"/>
        </w:rPr>
        <w:instrText>tigress</w:instrText>
      </w:r>
      <w:r w:rsidR="009F0E13" w:rsidRPr="00BC37B1">
        <w:rPr>
          <w:rFonts w:asciiTheme="minorHAnsi" w:eastAsia="Arial" w:hAnsiTheme="minorHAnsi" w:cstheme="minorHAnsi"/>
          <w:color w:val="0000FF"/>
          <w:sz w:val="22"/>
          <w:szCs w:val="22"/>
          <w:u w:val="single"/>
        </w:rPr>
        <w:instrText>.com/</w:instrText>
      </w:r>
      <w:r w:rsidR="009F0E13">
        <w:rPr>
          <w:rFonts w:asciiTheme="minorHAnsi" w:eastAsia="Arial" w:hAnsiTheme="minorHAnsi" w:cstheme="minorHAnsi"/>
          <w:color w:val="0000FF"/>
          <w:sz w:val="22"/>
          <w:szCs w:val="22"/>
          <w:u w:val="single"/>
        </w:rPr>
        <w:instrText>tigess</w:instrText>
      </w:r>
      <w:r w:rsidR="009F0E13" w:rsidRPr="00BC37B1">
        <w:rPr>
          <w:rFonts w:asciiTheme="minorHAnsi" w:eastAsia="Arial" w:hAnsiTheme="minorHAnsi" w:cstheme="minorHAnsi"/>
          <w:color w:val="0000FF"/>
          <w:sz w:val="22"/>
          <w:szCs w:val="22"/>
          <w:u w:val="single"/>
        </w:rPr>
        <w:instrText>/index.cfm/our-services/disclosures/</w:instrText>
      </w:r>
      <w:commentRangeEnd w:id="3"/>
      <w:r w:rsidR="009F0E13">
        <w:rPr>
          <w:rFonts w:asciiTheme="minorHAnsi" w:eastAsia="Arial" w:hAnsiTheme="minorHAnsi" w:cstheme="minorHAnsi"/>
          <w:color w:val="0000FF"/>
          <w:sz w:val="22"/>
          <w:szCs w:val="22"/>
          <w:u w:val="single"/>
        </w:rPr>
        <w:instrText xml:space="preserve">" </w:instrText>
      </w:r>
      <w:r w:rsidR="009F0E13">
        <w:rPr>
          <w:rFonts w:asciiTheme="minorHAnsi" w:eastAsia="Arial" w:hAnsiTheme="minorHAnsi" w:cstheme="minorHAnsi"/>
          <w:color w:val="0000FF"/>
          <w:sz w:val="22"/>
          <w:szCs w:val="22"/>
          <w:u w:val="single"/>
        </w:rPr>
        <w:fldChar w:fldCharType="separate"/>
      </w:r>
      <w:r w:rsidR="009F0E13" w:rsidRPr="0038146C">
        <w:rPr>
          <w:rStyle w:val="Hyperlink"/>
          <w:rFonts w:asciiTheme="minorHAnsi" w:eastAsia="Arial" w:hAnsiTheme="minorHAnsi" w:cstheme="minorHAnsi"/>
          <w:sz w:val="22"/>
          <w:szCs w:val="22"/>
        </w:rPr>
        <w:t>http://www.tigress.com/tigess/index.cfm/our-services/disclosures/</w:t>
      </w:r>
      <w:r w:rsidR="009F0E13">
        <w:rPr>
          <w:rFonts w:asciiTheme="minorHAnsi" w:eastAsia="Arial" w:hAnsiTheme="minorHAnsi" w:cstheme="minorHAnsi"/>
          <w:color w:val="0000FF"/>
          <w:sz w:val="22"/>
          <w:szCs w:val="22"/>
          <w:u w:val="single"/>
        </w:rPr>
        <w:fldChar w:fldCharType="end"/>
      </w:r>
      <w:r w:rsidR="00B76E7E">
        <w:rPr>
          <w:rStyle w:val="CommentReference"/>
          <w:rFonts w:ascii="Arial" w:eastAsia="Arial" w:hAnsi="Arial" w:cs="Arial"/>
          <w:color w:val="auto"/>
        </w:rPr>
        <w:commentReference w:id="3"/>
      </w:r>
      <w:r w:rsidR="008D2421" w:rsidRPr="0094561D">
        <w:rPr>
          <w:rFonts w:asciiTheme="minorHAnsi" w:eastAsia="Arial" w:hAnsiTheme="minorHAnsi" w:cstheme="minorHAnsi"/>
          <w:bCs/>
          <w:color w:val="auto"/>
          <w:sz w:val="21"/>
          <w:szCs w:val="21"/>
        </w:rPr>
        <w:t xml:space="preserve">. </w:t>
      </w:r>
      <w:r w:rsidR="00C77D3C" w:rsidRPr="0094561D">
        <w:rPr>
          <w:rFonts w:asciiTheme="minorHAnsi" w:eastAsia="Arial" w:hAnsiTheme="minorHAnsi" w:cstheme="minorHAnsi"/>
          <w:bCs/>
          <w:color w:val="auto"/>
          <w:sz w:val="21"/>
          <w:szCs w:val="21"/>
        </w:rPr>
        <w:t xml:space="preserve"> </w:t>
      </w:r>
    </w:p>
    <w:p w14:paraId="24A28CD4" w14:textId="77777777" w:rsidR="000D1043" w:rsidRPr="0094561D" w:rsidRDefault="000D1043" w:rsidP="00412143">
      <w:pPr>
        <w:pStyle w:val="Default0"/>
        <w:ind w:left="144"/>
        <w:rPr>
          <w:rFonts w:asciiTheme="minorHAnsi" w:eastAsia="Arial" w:hAnsiTheme="minorHAnsi" w:cstheme="minorHAnsi"/>
          <w:bCs/>
          <w:color w:val="auto"/>
          <w:sz w:val="21"/>
          <w:szCs w:val="21"/>
        </w:rPr>
      </w:pPr>
    </w:p>
    <w:p w14:paraId="0B016248" w14:textId="77777777" w:rsidR="009D6737" w:rsidRPr="0094561D" w:rsidRDefault="00E03FFB" w:rsidP="00412143">
      <w:pPr>
        <w:pStyle w:val="Default0"/>
        <w:ind w:left="144"/>
        <w:rPr>
          <w:rFonts w:asciiTheme="minorHAnsi" w:eastAsia="Arial" w:hAnsiTheme="minorHAnsi" w:cstheme="minorHAnsi"/>
          <w:b/>
          <w:bCs/>
          <w:color w:val="auto"/>
          <w:sz w:val="21"/>
          <w:szCs w:val="21"/>
        </w:rPr>
      </w:pPr>
      <w:r w:rsidRPr="0094561D">
        <w:rPr>
          <w:rFonts w:asciiTheme="minorHAnsi" w:eastAsia="Arial" w:hAnsiTheme="minorHAnsi" w:cstheme="minorHAnsi"/>
          <w:b/>
          <w:bCs/>
          <w:color w:val="auto"/>
          <w:sz w:val="21"/>
          <w:szCs w:val="21"/>
        </w:rPr>
        <w:t>Incidental Brokerage</w:t>
      </w:r>
      <w:r w:rsidR="009D6737" w:rsidRPr="0094561D">
        <w:rPr>
          <w:rFonts w:asciiTheme="minorHAnsi" w:eastAsia="Arial" w:hAnsiTheme="minorHAnsi" w:cstheme="minorHAnsi"/>
          <w:b/>
          <w:bCs/>
          <w:color w:val="auto"/>
          <w:sz w:val="21"/>
          <w:szCs w:val="21"/>
        </w:rPr>
        <w:t xml:space="preserve"> Services</w:t>
      </w:r>
      <w:r w:rsidR="007C385F" w:rsidRPr="0094561D">
        <w:rPr>
          <w:rFonts w:asciiTheme="minorHAnsi" w:eastAsia="Arial" w:hAnsiTheme="minorHAnsi" w:cstheme="minorHAnsi"/>
          <w:b/>
          <w:bCs/>
          <w:color w:val="auto"/>
          <w:sz w:val="21"/>
          <w:szCs w:val="21"/>
        </w:rPr>
        <w:t>, Recommendations and Account Monitoring</w:t>
      </w:r>
      <w:r w:rsidR="009D6737" w:rsidRPr="0094561D">
        <w:rPr>
          <w:rFonts w:asciiTheme="minorHAnsi" w:eastAsia="Arial" w:hAnsiTheme="minorHAnsi" w:cstheme="minorHAnsi"/>
          <w:b/>
          <w:bCs/>
          <w:color w:val="auto"/>
          <w:sz w:val="21"/>
          <w:szCs w:val="21"/>
        </w:rPr>
        <w:t xml:space="preserve"> </w:t>
      </w:r>
    </w:p>
    <w:p w14:paraId="4F241FA6" w14:textId="32AD9847" w:rsidR="009C417A" w:rsidRPr="0094561D" w:rsidRDefault="00FB36F5" w:rsidP="00412143">
      <w:pPr>
        <w:pStyle w:val="Default0"/>
        <w:ind w:left="144"/>
        <w:jc w:val="both"/>
        <w:rPr>
          <w:rFonts w:asciiTheme="minorHAnsi" w:eastAsia="Arial" w:hAnsiTheme="minorHAnsi" w:cstheme="minorHAnsi"/>
          <w:bCs/>
          <w:color w:val="auto"/>
          <w:sz w:val="21"/>
          <w:szCs w:val="21"/>
        </w:rPr>
      </w:pPr>
      <w:r w:rsidRPr="0094561D">
        <w:rPr>
          <w:rFonts w:asciiTheme="minorHAnsi" w:eastAsia="Arial" w:hAnsiTheme="minorHAnsi" w:cstheme="minorHAnsi"/>
          <w:bCs/>
          <w:color w:val="auto"/>
          <w:sz w:val="21"/>
          <w:szCs w:val="21"/>
        </w:rPr>
        <w:t xml:space="preserve">As an element of </w:t>
      </w:r>
      <w:r w:rsidR="000459D8" w:rsidRPr="0094561D">
        <w:rPr>
          <w:rFonts w:asciiTheme="minorHAnsi" w:eastAsia="Arial" w:hAnsiTheme="minorHAnsi" w:cstheme="minorHAnsi"/>
          <w:bCs/>
          <w:color w:val="auto"/>
          <w:sz w:val="21"/>
          <w:szCs w:val="21"/>
        </w:rPr>
        <w:t>your brokerage account</w:t>
      </w:r>
      <w:r w:rsidRPr="0094561D">
        <w:rPr>
          <w:rFonts w:asciiTheme="minorHAnsi" w:eastAsia="Arial" w:hAnsiTheme="minorHAnsi" w:cstheme="minorHAnsi"/>
          <w:bCs/>
          <w:color w:val="auto"/>
          <w:sz w:val="21"/>
          <w:szCs w:val="21"/>
        </w:rPr>
        <w:t xml:space="preserve"> with </w:t>
      </w:r>
      <w:r w:rsidR="00811BAB">
        <w:rPr>
          <w:rFonts w:asciiTheme="minorHAnsi" w:eastAsia="Arial" w:hAnsiTheme="minorHAnsi" w:cstheme="minorHAnsi"/>
          <w:bCs/>
          <w:color w:val="auto"/>
          <w:sz w:val="21"/>
          <w:szCs w:val="21"/>
        </w:rPr>
        <w:t>Tigress</w:t>
      </w:r>
      <w:r w:rsidRPr="0094561D">
        <w:rPr>
          <w:rFonts w:asciiTheme="minorHAnsi" w:eastAsia="Arial" w:hAnsiTheme="minorHAnsi" w:cstheme="minorHAnsi"/>
          <w:bCs/>
          <w:color w:val="auto"/>
          <w:sz w:val="21"/>
          <w:szCs w:val="21"/>
        </w:rPr>
        <w:t>/Pershing</w:t>
      </w:r>
      <w:r w:rsidR="000459D8" w:rsidRPr="0094561D">
        <w:rPr>
          <w:rFonts w:asciiTheme="minorHAnsi" w:eastAsia="Arial" w:hAnsiTheme="minorHAnsi" w:cstheme="minorHAnsi"/>
          <w:bCs/>
          <w:color w:val="auto"/>
          <w:sz w:val="21"/>
          <w:szCs w:val="21"/>
        </w:rPr>
        <w:t>, w</w:t>
      </w:r>
      <w:r w:rsidR="00F2567D" w:rsidRPr="0094561D">
        <w:rPr>
          <w:rFonts w:asciiTheme="minorHAnsi" w:eastAsia="Arial" w:hAnsiTheme="minorHAnsi" w:cstheme="minorHAnsi"/>
          <w:bCs/>
          <w:color w:val="auto"/>
          <w:sz w:val="21"/>
          <w:szCs w:val="21"/>
        </w:rPr>
        <w:t>e provide other incidental services</w:t>
      </w:r>
      <w:r w:rsidR="00215FE1" w:rsidRPr="0094561D">
        <w:rPr>
          <w:rFonts w:asciiTheme="minorHAnsi" w:eastAsia="Arial" w:hAnsiTheme="minorHAnsi" w:cstheme="minorHAnsi"/>
          <w:bCs/>
          <w:color w:val="auto"/>
          <w:sz w:val="21"/>
          <w:szCs w:val="21"/>
        </w:rPr>
        <w:t xml:space="preserve"> </w:t>
      </w:r>
      <w:r w:rsidR="00F2567D" w:rsidRPr="0094561D">
        <w:rPr>
          <w:rFonts w:asciiTheme="minorHAnsi" w:eastAsia="Arial" w:hAnsiTheme="minorHAnsi" w:cstheme="minorHAnsi"/>
          <w:bCs/>
          <w:color w:val="auto"/>
          <w:sz w:val="21"/>
          <w:szCs w:val="21"/>
        </w:rPr>
        <w:t>such as recommendations to buy, sell, or hold assets.</w:t>
      </w:r>
      <w:r w:rsidR="00BA1A4A" w:rsidRPr="0094561D">
        <w:rPr>
          <w:rFonts w:asciiTheme="minorHAnsi" w:eastAsia="Arial" w:hAnsiTheme="minorHAnsi" w:cstheme="minorHAnsi"/>
          <w:bCs/>
          <w:color w:val="auto"/>
          <w:sz w:val="21"/>
          <w:szCs w:val="21"/>
        </w:rPr>
        <w:t xml:space="preserve"> </w:t>
      </w:r>
      <w:r w:rsidR="00BB5FE5" w:rsidRPr="0094561D">
        <w:rPr>
          <w:rFonts w:asciiTheme="minorHAnsi" w:eastAsia="Arial" w:hAnsiTheme="minorHAnsi" w:cstheme="minorHAnsi"/>
          <w:bCs/>
          <w:color w:val="auto"/>
          <w:sz w:val="21"/>
          <w:szCs w:val="21"/>
        </w:rPr>
        <w:t xml:space="preserve">When we make a securities recommendation, investment strategy recommendation or recommendation to rollover assets from your </w:t>
      </w:r>
      <w:r w:rsidR="007C385F" w:rsidRPr="0094561D">
        <w:rPr>
          <w:rFonts w:asciiTheme="minorHAnsi" w:eastAsia="Arial" w:hAnsiTheme="minorHAnsi" w:cstheme="minorHAnsi"/>
          <w:bCs/>
          <w:color w:val="auto"/>
          <w:sz w:val="21"/>
          <w:szCs w:val="21"/>
        </w:rPr>
        <w:t>Qualified Retirement Plan (QRP)</w:t>
      </w:r>
      <w:r w:rsidR="00BB5FE5" w:rsidRPr="0094561D">
        <w:rPr>
          <w:rFonts w:asciiTheme="minorHAnsi" w:eastAsia="Arial" w:hAnsiTheme="minorHAnsi" w:cstheme="minorHAnsi"/>
          <w:bCs/>
          <w:color w:val="auto"/>
          <w:sz w:val="21"/>
          <w:szCs w:val="21"/>
        </w:rPr>
        <w:t xml:space="preserve"> to an I</w:t>
      </w:r>
      <w:r w:rsidR="003013D6" w:rsidRPr="0094561D">
        <w:rPr>
          <w:rFonts w:asciiTheme="minorHAnsi" w:eastAsia="Arial" w:hAnsiTheme="minorHAnsi" w:cstheme="minorHAnsi"/>
          <w:bCs/>
          <w:color w:val="auto"/>
          <w:sz w:val="21"/>
          <w:szCs w:val="21"/>
        </w:rPr>
        <w:t>ndividual Retirement Account (I</w:t>
      </w:r>
      <w:r w:rsidR="00BB5FE5" w:rsidRPr="0094561D">
        <w:rPr>
          <w:rFonts w:asciiTheme="minorHAnsi" w:eastAsia="Arial" w:hAnsiTheme="minorHAnsi" w:cstheme="minorHAnsi"/>
          <w:bCs/>
          <w:color w:val="auto"/>
          <w:sz w:val="21"/>
          <w:szCs w:val="21"/>
        </w:rPr>
        <w:t>RA</w:t>
      </w:r>
      <w:r w:rsidR="003013D6" w:rsidRPr="0094561D">
        <w:rPr>
          <w:rFonts w:asciiTheme="minorHAnsi" w:eastAsia="Arial" w:hAnsiTheme="minorHAnsi" w:cstheme="minorHAnsi"/>
          <w:bCs/>
          <w:color w:val="auto"/>
          <w:sz w:val="21"/>
          <w:szCs w:val="21"/>
        </w:rPr>
        <w:t>)</w:t>
      </w:r>
      <w:r w:rsidR="00BB5FE5" w:rsidRPr="0094561D">
        <w:rPr>
          <w:rFonts w:asciiTheme="minorHAnsi" w:eastAsia="Arial" w:hAnsiTheme="minorHAnsi" w:cstheme="minorHAnsi"/>
          <w:bCs/>
          <w:color w:val="auto"/>
          <w:sz w:val="21"/>
          <w:szCs w:val="21"/>
        </w:rPr>
        <w:t xml:space="preserve">, </w:t>
      </w:r>
      <w:r w:rsidR="00E9336E" w:rsidRPr="0094561D">
        <w:rPr>
          <w:rFonts w:asciiTheme="minorHAnsi" w:eastAsia="Arial" w:hAnsiTheme="minorHAnsi" w:cstheme="minorHAnsi"/>
          <w:bCs/>
          <w:color w:val="auto"/>
          <w:sz w:val="21"/>
          <w:szCs w:val="21"/>
        </w:rPr>
        <w:t>the</w:t>
      </w:r>
      <w:r w:rsidR="005948A9" w:rsidRPr="0094561D">
        <w:rPr>
          <w:rFonts w:asciiTheme="minorHAnsi" w:eastAsia="Arial" w:hAnsiTheme="minorHAnsi" w:cstheme="minorHAnsi"/>
          <w:bCs/>
          <w:color w:val="auto"/>
          <w:sz w:val="21"/>
          <w:szCs w:val="21"/>
        </w:rPr>
        <w:t xml:space="preserve"> recommendation</w:t>
      </w:r>
      <w:r w:rsidR="00E9336E" w:rsidRPr="0094561D">
        <w:rPr>
          <w:rFonts w:asciiTheme="minorHAnsi" w:eastAsia="Arial" w:hAnsiTheme="minorHAnsi" w:cstheme="minorHAnsi"/>
          <w:bCs/>
          <w:color w:val="auto"/>
          <w:sz w:val="21"/>
          <w:szCs w:val="21"/>
        </w:rPr>
        <w:t xml:space="preserve"> is</w:t>
      </w:r>
      <w:r w:rsidR="005948A9" w:rsidRPr="0094561D">
        <w:rPr>
          <w:rFonts w:asciiTheme="minorHAnsi" w:eastAsia="Arial" w:hAnsiTheme="minorHAnsi" w:cstheme="minorHAnsi"/>
          <w:bCs/>
          <w:color w:val="auto"/>
          <w:sz w:val="21"/>
          <w:szCs w:val="21"/>
        </w:rPr>
        <w:t xml:space="preserve"> made in our capacity as a broker-dealer unless otherwise stated at the time of </w:t>
      </w:r>
      <w:r w:rsidR="009C417A" w:rsidRPr="0094561D">
        <w:rPr>
          <w:rFonts w:asciiTheme="minorHAnsi" w:eastAsia="Arial" w:hAnsiTheme="minorHAnsi" w:cstheme="minorHAnsi"/>
          <w:bCs/>
          <w:color w:val="auto"/>
          <w:sz w:val="21"/>
          <w:szCs w:val="21"/>
        </w:rPr>
        <w:t xml:space="preserve">the </w:t>
      </w:r>
      <w:r w:rsidR="005948A9" w:rsidRPr="0094561D">
        <w:rPr>
          <w:rFonts w:asciiTheme="minorHAnsi" w:eastAsia="Arial" w:hAnsiTheme="minorHAnsi" w:cstheme="minorHAnsi"/>
          <w:bCs/>
          <w:color w:val="auto"/>
          <w:sz w:val="21"/>
          <w:szCs w:val="21"/>
        </w:rPr>
        <w:t>recommendation</w:t>
      </w:r>
      <w:r w:rsidR="00D94E37" w:rsidRPr="0094561D">
        <w:rPr>
          <w:rFonts w:asciiTheme="minorHAnsi" w:eastAsia="Arial" w:hAnsiTheme="minorHAnsi" w:cstheme="minorHAnsi"/>
          <w:bCs/>
          <w:color w:val="auto"/>
          <w:sz w:val="21"/>
          <w:szCs w:val="21"/>
        </w:rPr>
        <w:t>.</w:t>
      </w:r>
      <w:r w:rsidR="005948A9" w:rsidRPr="0094561D">
        <w:rPr>
          <w:rFonts w:asciiTheme="minorHAnsi" w:eastAsia="Arial" w:hAnsiTheme="minorHAnsi" w:cstheme="minorHAnsi"/>
          <w:bCs/>
          <w:color w:val="auto"/>
          <w:sz w:val="21"/>
          <w:szCs w:val="21"/>
        </w:rPr>
        <w:t xml:space="preserve"> Any such statement will be made orally</w:t>
      </w:r>
      <w:r w:rsidR="000459D8" w:rsidRPr="0094561D">
        <w:rPr>
          <w:rFonts w:asciiTheme="minorHAnsi" w:eastAsia="Arial" w:hAnsiTheme="minorHAnsi" w:cstheme="minorHAnsi"/>
          <w:bCs/>
          <w:color w:val="auto"/>
          <w:sz w:val="21"/>
          <w:szCs w:val="21"/>
        </w:rPr>
        <w:t xml:space="preserve"> to you</w:t>
      </w:r>
      <w:r w:rsidR="005948A9" w:rsidRPr="0094561D">
        <w:rPr>
          <w:rFonts w:asciiTheme="minorHAnsi" w:eastAsia="Arial" w:hAnsiTheme="minorHAnsi" w:cstheme="minorHAnsi"/>
          <w:bCs/>
          <w:color w:val="auto"/>
          <w:sz w:val="21"/>
          <w:szCs w:val="21"/>
        </w:rPr>
        <w:t xml:space="preserve">. </w:t>
      </w:r>
      <w:r w:rsidR="00D94E37" w:rsidRPr="0094561D">
        <w:rPr>
          <w:rFonts w:asciiTheme="minorHAnsi" w:eastAsia="Arial" w:hAnsiTheme="minorHAnsi" w:cstheme="minorHAnsi"/>
          <w:bCs/>
          <w:color w:val="auto"/>
          <w:sz w:val="21"/>
          <w:szCs w:val="21"/>
        </w:rPr>
        <w:t>Moreover, when we act in a brokerage capacity, we do not</w:t>
      </w:r>
      <w:r w:rsidR="00B327E8" w:rsidRPr="0094561D">
        <w:rPr>
          <w:rFonts w:asciiTheme="minorHAnsi" w:eastAsia="Arial" w:hAnsiTheme="minorHAnsi" w:cstheme="minorHAnsi"/>
          <w:bCs/>
          <w:color w:val="auto"/>
          <w:sz w:val="21"/>
          <w:szCs w:val="21"/>
        </w:rPr>
        <w:t xml:space="preserve"> a</w:t>
      </w:r>
      <w:r w:rsidR="008739CE" w:rsidRPr="0094561D">
        <w:rPr>
          <w:rFonts w:asciiTheme="minorHAnsi" w:eastAsia="Arial" w:hAnsiTheme="minorHAnsi" w:cstheme="minorHAnsi"/>
          <w:bCs/>
          <w:color w:val="auto"/>
          <w:sz w:val="21"/>
          <w:szCs w:val="21"/>
        </w:rPr>
        <w:t>gree</w:t>
      </w:r>
      <w:r w:rsidR="00B327E8" w:rsidRPr="0094561D">
        <w:rPr>
          <w:rFonts w:asciiTheme="minorHAnsi" w:eastAsia="Arial" w:hAnsiTheme="minorHAnsi" w:cstheme="minorHAnsi"/>
          <w:bCs/>
          <w:color w:val="auto"/>
          <w:sz w:val="21"/>
          <w:szCs w:val="21"/>
        </w:rPr>
        <w:t xml:space="preserve"> to</w:t>
      </w:r>
      <w:r w:rsidR="00D94E37" w:rsidRPr="0094561D">
        <w:rPr>
          <w:rFonts w:asciiTheme="minorHAnsi" w:eastAsia="Arial" w:hAnsiTheme="minorHAnsi" w:cstheme="minorHAnsi"/>
          <w:bCs/>
          <w:color w:val="auto"/>
          <w:sz w:val="21"/>
          <w:szCs w:val="21"/>
        </w:rPr>
        <w:t xml:space="preserve"> </w:t>
      </w:r>
      <w:r w:rsidR="00B31515" w:rsidRPr="0094561D">
        <w:rPr>
          <w:rFonts w:asciiTheme="minorHAnsi" w:eastAsia="Arial" w:hAnsiTheme="minorHAnsi" w:cstheme="minorHAnsi"/>
          <w:bCs/>
          <w:color w:val="auto"/>
          <w:sz w:val="21"/>
          <w:szCs w:val="21"/>
        </w:rPr>
        <w:t>enter</w:t>
      </w:r>
      <w:r w:rsidR="00D94E37" w:rsidRPr="0094561D">
        <w:rPr>
          <w:rFonts w:asciiTheme="minorHAnsi" w:eastAsia="Arial" w:hAnsiTheme="minorHAnsi" w:cstheme="minorHAnsi"/>
          <w:bCs/>
          <w:color w:val="auto"/>
          <w:sz w:val="21"/>
          <w:szCs w:val="21"/>
        </w:rPr>
        <w:t xml:space="preserve"> a fiduciary relationship with you</w:t>
      </w:r>
      <w:r w:rsidR="0052717D" w:rsidRPr="0094561D">
        <w:rPr>
          <w:rFonts w:asciiTheme="minorHAnsi" w:eastAsia="Arial" w:hAnsiTheme="minorHAnsi" w:cstheme="minorHAnsi"/>
          <w:bCs/>
          <w:color w:val="auto"/>
          <w:sz w:val="21"/>
          <w:szCs w:val="21"/>
        </w:rPr>
        <w:t xml:space="preserve"> or actively monitor your brokerage account; account monitoring services are offered through our advisory services arm</w:t>
      </w:r>
      <w:r w:rsidR="00D94E37" w:rsidRPr="0094561D">
        <w:rPr>
          <w:rFonts w:asciiTheme="minorHAnsi" w:eastAsia="Arial" w:hAnsiTheme="minorHAnsi" w:cstheme="minorHAnsi"/>
          <w:bCs/>
          <w:color w:val="auto"/>
          <w:sz w:val="21"/>
          <w:szCs w:val="21"/>
        </w:rPr>
        <w:t>.</w:t>
      </w:r>
    </w:p>
    <w:p w14:paraId="37DF05B0" w14:textId="77777777" w:rsidR="00E03FFB" w:rsidRPr="0094561D" w:rsidRDefault="00E03FFB" w:rsidP="00412143">
      <w:pPr>
        <w:pStyle w:val="Default0"/>
        <w:ind w:left="144"/>
        <w:jc w:val="both"/>
        <w:rPr>
          <w:rFonts w:asciiTheme="minorHAnsi" w:eastAsia="Arial" w:hAnsiTheme="minorHAnsi" w:cstheme="minorHAnsi"/>
          <w:bCs/>
          <w:color w:val="auto"/>
          <w:sz w:val="21"/>
          <w:szCs w:val="21"/>
        </w:rPr>
      </w:pPr>
    </w:p>
    <w:p w14:paraId="01E9F760" w14:textId="7D8A964F" w:rsidR="00292274" w:rsidRPr="0094561D" w:rsidRDefault="004714C3" w:rsidP="00412143">
      <w:pPr>
        <w:pStyle w:val="Default0"/>
        <w:ind w:left="144"/>
        <w:jc w:val="both"/>
        <w:rPr>
          <w:rFonts w:asciiTheme="minorHAnsi" w:eastAsia="Arial" w:hAnsiTheme="minorHAnsi" w:cstheme="minorHAnsi"/>
          <w:bCs/>
          <w:color w:val="auto"/>
          <w:sz w:val="21"/>
          <w:szCs w:val="21"/>
        </w:rPr>
      </w:pPr>
      <w:r w:rsidRPr="0094561D">
        <w:rPr>
          <w:rFonts w:asciiTheme="minorHAnsi" w:eastAsia="Arial" w:hAnsiTheme="minorHAnsi" w:cstheme="minorHAnsi"/>
          <w:bCs/>
          <w:color w:val="auto"/>
          <w:sz w:val="21"/>
          <w:szCs w:val="21"/>
        </w:rPr>
        <w:t xml:space="preserve">It is important for you to </w:t>
      </w:r>
      <w:r w:rsidR="000C20B9" w:rsidRPr="0094561D">
        <w:rPr>
          <w:rFonts w:asciiTheme="minorHAnsi" w:eastAsia="Arial" w:hAnsiTheme="minorHAnsi" w:cstheme="minorHAnsi"/>
          <w:bCs/>
          <w:color w:val="auto"/>
          <w:sz w:val="21"/>
          <w:szCs w:val="21"/>
        </w:rPr>
        <w:t>understand</w:t>
      </w:r>
      <w:r w:rsidRPr="0094561D">
        <w:rPr>
          <w:rFonts w:asciiTheme="minorHAnsi" w:eastAsia="Arial" w:hAnsiTheme="minorHAnsi" w:cstheme="minorHAnsi"/>
          <w:bCs/>
          <w:color w:val="auto"/>
          <w:sz w:val="21"/>
          <w:szCs w:val="21"/>
        </w:rPr>
        <w:t xml:space="preserve"> that w</w:t>
      </w:r>
      <w:r w:rsidR="005948A9" w:rsidRPr="0094561D">
        <w:rPr>
          <w:rFonts w:asciiTheme="minorHAnsi" w:eastAsia="Arial" w:hAnsiTheme="minorHAnsi" w:cstheme="minorHAnsi"/>
          <w:bCs/>
          <w:color w:val="auto"/>
          <w:sz w:val="21"/>
          <w:szCs w:val="21"/>
        </w:rPr>
        <w:t xml:space="preserve">hen </w:t>
      </w:r>
      <w:r w:rsidR="00E03FFB" w:rsidRPr="0094561D">
        <w:rPr>
          <w:rFonts w:asciiTheme="minorHAnsi" w:eastAsia="Arial" w:hAnsiTheme="minorHAnsi" w:cstheme="minorHAnsi"/>
          <w:bCs/>
          <w:color w:val="auto"/>
          <w:sz w:val="21"/>
          <w:szCs w:val="21"/>
        </w:rPr>
        <w:t xml:space="preserve">our </w:t>
      </w:r>
      <w:r w:rsidR="00EE0452" w:rsidRPr="0094561D">
        <w:rPr>
          <w:rFonts w:asciiTheme="minorHAnsi" w:eastAsia="Arial" w:hAnsiTheme="minorHAnsi" w:cstheme="minorHAnsi"/>
          <w:bCs/>
          <w:color w:val="auto"/>
          <w:sz w:val="21"/>
          <w:szCs w:val="21"/>
        </w:rPr>
        <w:t>Financial Professional</w:t>
      </w:r>
      <w:r w:rsidR="00E03FFB" w:rsidRPr="0094561D">
        <w:rPr>
          <w:rFonts w:asciiTheme="minorHAnsi" w:eastAsia="Arial" w:hAnsiTheme="minorHAnsi" w:cstheme="minorHAnsi"/>
          <w:bCs/>
          <w:color w:val="auto"/>
          <w:sz w:val="21"/>
          <w:szCs w:val="21"/>
        </w:rPr>
        <w:t xml:space="preserve">s make a </w:t>
      </w:r>
      <w:r w:rsidR="000C20B9" w:rsidRPr="0094561D">
        <w:rPr>
          <w:rFonts w:asciiTheme="minorHAnsi" w:eastAsia="Arial" w:hAnsiTheme="minorHAnsi" w:cstheme="minorHAnsi"/>
          <w:bCs/>
          <w:color w:val="auto"/>
          <w:sz w:val="21"/>
          <w:szCs w:val="21"/>
        </w:rPr>
        <w:t xml:space="preserve">brokerage </w:t>
      </w:r>
      <w:r w:rsidR="00E03FFB" w:rsidRPr="0094561D">
        <w:rPr>
          <w:rFonts w:asciiTheme="minorHAnsi" w:eastAsia="Arial" w:hAnsiTheme="minorHAnsi" w:cstheme="minorHAnsi"/>
          <w:bCs/>
          <w:color w:val="auto"/>
          <w:sz w:val="21"/>
          <w:szCs w:val="21"/>
        </w:rPr>
        <w:t xml:space="preserve">recommendation to you, </w:t>
      </w:r>
      <w:r w:rsidRPr="0094561D">
        <w:rPr>
          <w:rFonts w:asciiTheme="minorHAnsi" w:eastAsia="Arial" w:hAnsiTheme="minorHAnsi" w:cstheme="minorHAnsi"/>
          <w:bCs/>
          <w:color w:val="auto"/>
          <w:sz w:val="21"/>
          <w:szCs w:val="21"/>
        </w:rPr>
        <w:t xml:space="preserve">we are obligated </w:t>
      </w:r>
      <w:r w:rsidR="00D94E37" w:rsidRPr="0094561D">
        <w:rPr>
          <w:rFonts w:asciiTheme="minorHAnsi" w:eastAsia="Arial" w:hAnsiTheme="minorHAnsi" w:cstheme="minorHAnsi"/>
          <w:bCs/>
          <w:color w:val="auto"/>
          <w:sz w:val="21"/>
          <w:szCs w:val="21"/>
        </w:rPr>
        <w:t xml:space="preserve">to ensure </w:t>
      </w:r>
      <w:r w:rsidR="00E03FFB" w:rsidRPr="0094561D">
        <w:rPr>
          <w:rFonts w:asciiTheme="minorHAnsi" w:eastAsia="Arial" w:hAnsiTheme="minorHAnsi" w:cstheme="minorHAnsi"/>
          <w:bCs/>
          <w:color w:val="auto"/>
          <w:sz w:val="21"/>
          <w:szCs w:val="21"/>
        </w:rPr>
        <w:t>the</w:t>
      </w:r>
      <w:r w:rsidR="00D94E37" w:rsidRPr="0094561D">
        <w:rPr>
          <w:rFonts w:asciiTheme="minorHAnsi" w:eastAsia="Arial" w:hAnsiTheme="minorHAnsi" w:cstheme="minorHAnsi"/>
          <w:bCs/>
          <w:color w:val="auto"/>
          <w:sz w:val="21"/>
          <w:szCs w:val="21"/>
        </w:rPr>
        <w:t xml:space="preserve"> </w:t>
      </w:r>
      <w:r w:rsidR="005269BF" w:rsidRPr="0094561D">
        <w:rPr>
          <w:rFonts w:asciiTheme="minorHAnsi" w:eastAsia="Arial" w:hAnsiTheme="minorHAnsi" w:cstheme="minorHAnsi"/>
          <w:bCs/>
          <w:color w:val="auto"/>
          <w:sz w:val="21"/>
          <w:szCs w:val="21"/>
        </w:rPr>
        <w:t>recommendation</w:t>
      </w:r>
      <w:r w:rsidR="00292274" w:rsidRPr="0094561D">
        <w:rPr>
          <w:rFonts w:asciiTheme="minorHAnsi" w:eastAsia="Arial" w:hAnsiTheme="minorHAnsi" w:cstheme="minorHAnsi"/>
          <w:bCs/>
          <w:color w:val="auto"/>
          <w:sz w:val="21"/>
          <w:szCs w:val="21"/>
        </w:rPr>
        <w:t xml:space="preserve"> is</w:t>
      </w:r>
      <w:r w:rsidR="005269BF" w:rsidRPr="0094561D">
        <w:rPr>
          <w:rFonts w:asciiTheme="minorHAnsi" w:eastAsia="Arial" w:hAnsiTheme="minorHAnsi" w:cstheme="minorHAnsi"/>
          <w:bCs/>
          <w:color w:val="auto"/>
          <w:sz w:val="21"/>
          <w:szCs w:val="21"/>
        </w:rPr>
        <w:t xml:space="preserve"> </w:t>
      </w:r>
      <w:r w:rsidR="00761677" w:rsidRPr="0094561D">
        <w:rPr>
          <w:rFonts w:asciiTheme="minorHAnsi" w:eastAsia="Arial" w:hAnsiTheme="minorHAnsi" w:cstheme="minorHAnsi"/>
          <w:bCs/>
          <w:color w:val="auto"/>
          <w:sz w:val="21"/>
          <w:szCs w:val="21"/>
        </w:rPr>
        <w:t xml:space="preserve">suitable and </w:t>
      </w:r>
      <w:r w:rsidR="005269BF" w:rsidRPr="0094561D">
        <w:rPr>
          <w:rFonts w:asciiTheme="minorHAnsi" w:eastAsia="Arial" w:hAnsiTheme="minorHAnsi" w:cstheme="minorHAnsi"/>
          <w:bCs/>
          <w:color w:val="auto"/>
          <w:sz w:val="21"/>
          <w:szCs w:val="21"/>
        </w:rPr>
        <w:t>in your best interest</w:t>
      </w:r>
      <w:r w:rsidR="000C20B9" w:rsidRPr="0094561D">
        <w:rPr>
          <w:rFonts w:asciiTheme="minorHAnsi" w:eastAsia="Arial" w:hAnsiTheme="minorHAnsi" w:cstheme="minorHAnsi"/>
          <w:bCs/>
          <w:color w:val="auto"/>
          <w:sz w:val="21"/>
          <w:szCs w:val="21"/>
        </w:rPr>
        <w:t>,</w:t>
      </w:r>
      <w:r w:rsidR="003F3695" w:rsidRPr="0094561D">
        <w:rPr>
          <w:rFonts w:asciiTheme="minorHAnsi" w:eastAsia="Arial" w:hAnsiTheme="minorHAnsi" w:cstheme="minorHAnsi"/>
          <w:bCs/>
          <w:color w:val="auto"/>
          <w:sz w:val="21"/>
          <w:szCs w:val="21"/>
        </w:rPr>
        <w:t xml:space="preserve"> </w:t>
      </w:r>
      <w:r w:rsidR="00761677" w:rsidRPr="0094561D">
        <w:rPr>
          <w:rFonts w:asciiTheme="minorHAnsi" w:eastAsia="Arial" w:hAnsiTheme="minorHAnsi" w:cstheme="minorHAnsi"/>
          <w:bCs/>
          <w:color w:val="auto"/>
          <w:sz w:val="21"/>
          <w:szCs w:val="21"/>
        </w:rPr>
        <w:t xml:space="preserve">has </w:t>
      </w:r>
      <w:r w:rsidR="003F3695" w:rsidRPr="0094561D">
        <w:rPr>
          <w:rFonts w:asciiTheme="minorHAnsi" w:eastAsia="Arial" w:hAnsiTheme="minorHAnsi" w:cstheme="minorHAnsi"/>
          <w:bCs/>
          <w:color w:val="auto"/>
          <w:sz w:val="21"/>
          <w:szCs w:val="21"/>
        </w:rPr>
        <w:t>consider</w:t>
      </w:r>
      <w:r w:rsidR="00761677" w:rsidRPr="0094561D">
        <w:rPr>
          <w:rFonts w:asciiTheme="minorHAnsi" w:eastAsia="Arial" w:hAnsiTheme="minorHAnsi" w:cstheme="minorHAnsi"/>
          <w:bCs/>
          <w:color w:val="auto"/>
          <w:sz w:val="21"/>
          <w:szCs w:val="21"/>
        </w:rPr>
        <w:t>ed</w:t>
      </w:r>
      <w:r w:rsidR="003F3695" w:rsidRPr="0094561D">
        <w:rPr>
          <w:rFonts w:asciiTheme="minorHAnsi" w:eastAsia="Arial" w:hAnsiTheme="minorHAnsi" w:cstheme="minorHAnsi"/>
          <w:bCs/>
          <w:color w:val="auto"/>
          <w:sz w:val="21"/>
          <w:szCs w:val="21"/>
        </w:rPr>
        <w:t xml:space="preserve"> reasonabl</w:t>
      </w:r>
      <w:r w:rsidR="00761677" w:rsidRPr="0094561D">
        <w:rPr>
          <w:rFonts w:asciiTheme="minorHAnsi" w:eastAsia="Arial" w:hAnsiTheme="minorHAnsi" w:cstheme="minorHAnsi"/>
          <w:bCs/>
          <w:color w:val="auto"/>
          <w:sz w:val="21"/>
          <w:szCs w:val="21"/>
        </w:rPr>
        <w:t>y</w:t>
      </w:r>
      <w:r w:rsidR="003F3695" w:rsidRPr="0094561D">
        <w:rPr>
          <w:rFonts w:asciiTheme="minorHAnsi" w:eastAsia="Arial" w:hAnsiTheme="minorHAnsi" w:cstheme="minorHAnsi"/>
          <w:bCs/>
          <w:color w:val="auto"/>
          <w:sz w:val="21"/>
          <w:szCs w:val="21"/>
        </w:rPr>
        <w:t xml:space="preserve"> available alternatives, and</w:t>
      </w:r>
      <w:r w:rsidR="005269BF" w:rsidRPr="0094561D">
        <w:rPr>
          <w:rFonts w:asciiTheme="minorHAnsi" w:eastAsia="Arial" w:hAnsiTheme="minorHAnsi" w:cstheme="minorHAnsi"/>
          <w:bCs/>
          <w:color w:val="auto"/>
          <w:sz w:val="21"/>
          <w:szCs w:val="21"/>
        </w:rPr>
        <w:t xml:space="preserve"> </w:t>
      </w:r>
      <w:r w:rsidR="0023216A" w:rsidRPr="0094561D">
        <w:rPr>
          <w:rFonts w:asciiTheme="minorHAnsi" w:eastAsia="Arial" w:hAnsiTheme="minorHAnsi" w:cstheme="minorHAnsi"/>
          <w:bCs/>
          <w:color w:val="auto"/>
          <w:sz w:val="21"/>
          <w:szCs w:val="21"/>
        </w:rPr>
        <w:t xml:space="preserve">is </w:t>
      </w:r>
      <w:r w:rsidR="005269BF" w:rsidRPr="0094561D">
        <w:rPr>
          <w:rFonts w:asciiTheme="minorHAnsi" w:eastAsia="Arial" w:hAnsiTheme="minorHAnsi" w:cstheme="minorHAnsi"/>
          <w:bCs/>
          <w:color w:val="auto"/>
          <w:sz w:val="21"/>
          <w:szCs w:val="21"/>
        </w:rPr>
        <w:t>based on your stated investment objective, risk tolerance,</w:t>
      </w:r>
      <w:r w:rsidR="00FD0EAD" w:rsidRPr="0094561D">
        <w:rPr>
          <w:rFonts w:asciiTheme="minorHAnsi" w:eastAsia="Arial" w:hAnsiTheme="minorHAnsi" w:cstheme="minorHAnsi"/>
          <w:bCs/>
          <w:color w:val="auto"/>
          <w:sz w:val="21"/>
          <w:szCs w:val="21"/>
        </w:rPr>
        <w:t xml:space="preserve"> liquidity needs, time horizon, financial needs</w:t>
      </w:r>
      <w:r w:rsidR="005665E3" w:rsidRPr="0094561D">
        <w:rPr>
          <w:rFonts w:asciiTheme="minorHAnsi" w:eastAsia="Arial" w:hAnsiTheme="minorHAnsi" w:cstheme="minorHAnsi"/>
          <w:bCs/>
          <w:color w:val="auto"/>
          <w:sz w:val="21"/>
          <w:szCs w:val="21"/>
        </w:rPr>
        <w:t>,</w:t>
      </w:r>
      <w:r w:rsidR="005269BF" w:rsidRPr="0094561D">
        <w:rPr>
          <w:rFonts w:asciiTheme="minorHAnsi" w:eastAsia="Arial" w:hAnsiTheme="minorHAnsi" w:cstheme="minorHAnsi"/>
          <w:bCs/>
          <w:color w:val="auto"/>
          <w:sz w:val="21"/>
          <w:szCs w:val="21"/>
        </w:rPr>
        <w:t xml:space="preserve"> tax status, and other financial information you provide us. </w:t>
      </w:r>
      <w:r w:rsidR="00644135" w:rsidRPr="0094561D">
        <w:rPr>
          <w:rFonts w:asciiTheme="minorHAnsi" w:eastAsia="Arial" w:hAnsiTheme="minorHAnsi" w:cstheme="minorHAnsi"/>
          <w:bCs/>
          <w:color w:val="auto"/>
          <w:sz w:val="21"/>
          <w:szCs w:val="21"/>
        </w:rPr>
        <w:t>You may a</w:t>
      </w:r>
      <w:r w:rsidR="00215FE1" w:rsidRPr="0094561D">
        <w:rPr>
          <w:rFonts w:asciiTheme="minorHAnsi" w:eastAsia="Arial" w:hAnsiTheme="minorHAnsi" w:cstheme="minorHAnsi"/>
          <w:bCs/>
          <w:color w:val="auto"/>
          <w:sz w:val="21"/>
          <w:szCs w:val="21"/>
        </w:rPr>
        <w:t>ccept or reject any recommendation</w:t>
      </w:r>
      <w:r w:rsidR="000C20B9" w:rsidRPr="0094561D">
        <w:rPr>
          <w:rFonts w:asciiTheme="minorHAnsi" w:eastAsia="Arial" w:hAnsiTheme="minorHAnsi" w:cstheme="minorHAnsi"/>
          <w:bCs/>
          <w:color w:val="auto"/>
          <w:sz w:val="21"/>
          <w:szCs w:val="21"/>
        </w:rPr>
        <w:t xml:space="preserve">. It is </w:t>
      </w:r>
      <w:r w:rsidR="00644135" w:rsidRPr="0094561D">
        <w:rPr>
          <w:rFonts w:asciiTheme="minorHAnsi" w:eastAsia="Arial" w:hAnsiTheme="minorHAnsi" w:cstheme="minorHAnsi"/>
          <w:bCs/>
          <w:color w:val="auto"/>
          <w:sz w:val="21"/>
          <w:szCs w:val="21"/>
        </w:rPr>
        <w:t>your responsibility to monitor the investments in your brokerage account</w:t>
      </w:r>
      <w:r w:rsidR="00D048B4" w:rsidRPr="0094561D">
        <w:rPr>
          <w:rFonts w:asciiTheme="minorHAnsi" w:eastAsia="Arial" w:hAnsiTheme="minorHAnsi" w:cstheme="minorHAnsi"/>
          <w:bCs/>
          <w:color w:val="auto"/>
          <w:sz w:val="21"/>
          <w:szCs w:val="21"/>
        </w:rPr>
        <w:t>, and we encourage you to do so regularly</w:t>
      </w:r>
      <w:r w:rsidR="00644135" w:rsidRPr="0094561D">
        <w:rPr>
          <w:rFonts w:asciiTheme="minorHAnsi" w:eastAsia="Arial" w:hAnsiTheme="minorHAnsi" w:cstheme="minorHAnsi"/>
          <w:bCs/>
          <w:color w:val="auto"/>
          <w:sz w:val="21"/>
          <w:szCs w:val="21"/>
        </w:rPr>
        <w:t xml:space="preserve">. </w:t>
      </w:r>
      <w:r w:rsidR="00D048B4" w:rsidRPr="0094561D">
        <w:rPr>
          <w:rFonts w:asciiTheme="minorHAnsi" w:eastAsia="Arial" w:hAnsiTheme="minorHAnsi" w:cstheme="minorHAnsi"/>
          <w:color w:val="auto"/>
          <w:sz w:val="21"/>
          <w:szCs w:val="21"/>
        </w:rPr>
        <w:t xml:space="preserve">We do not commit to </w:t>
      </w:r>
      <w:r w:rsidR="00D048B4" w:rsidRPr="0094561D">
        <w:rPr>
          <w:rFonts w:asciiTheme="minorHAnsi" w:eastAsia="Arial" w:hAnsiTheme="minorHAnsi" w:cstheme="minorHAnsi"/>
          <w:color w:val="auto"/>
          <w:sz w:val="21"/>
          <w:szCs w:val="21"/>
        </w:rPr>
        <w:lastRenderedPageBreak/>
        <w:t xml:space="preserve">provide on-going monitoring of your brokerage account. If you prefer ongoing monitoring of your account or investments, you should speak with a </w:t>
      </w:r>
      <w:r w:rsidR="00EE0452" w:rsidRPr="0094561D">
        <w:rPr>
          <w:rFonts w:asciiTheme="minorHAnsi" w:eastAsia="Arial" w:hAnsiTheme="minorHAnsi" w:cstheme="minorHAnsi"/>
          <w:color w:val="auto"/>
          <w:sz w:val="21"/>
          <w:szCs w:val="21"/>
        </w:rPr>
        <w:t>Financial Professional</w:t>
      </w:r>
      <w:r w:rsidR="00D048B4" w:rsidRPr="0094561D">
        <w:rPr>
          <w:rFonts w:asciiTheme="minorHAnsi" w:eastAsia="Arial" w:hAnsiTheme="minorHAnsi" w:cstheme="minorHAnsi"/>
          <w:color w:val="auto"/>
          <w:sz w:val="21"/>
          <w:szCs w:val="21"/>
        </w:rPr>
        <w:t xml:space="preserve"> about whether an advisory services relationship is more appropriate for you.</w:t>
      </w:r>
      <w:r w:rsidR="00FB36F5" w:rsidRPr="0094561D">
        <w:rPr>
          <w:rFonts w:asciiTheme="minorHAnsi" w:eastAsia="Arial" w:hAnsiTheme="minorHAnsi" w:cstheme="minorHAnsi"/>
          <w:color w:val="auto"/>
          <w:sz w:val="21"/>
          <w:szCs w:val="21"/>
        </w:rPr>
        <w:t xml:space="preserve"> (Advisory account relationships include active monitoring of your investments and accounts, as well as a fiduciary obligation on the part of your investment adviser.)</w:t>
      </w:r>
    </w:p>
    <w:p w14:paraId="07C3C777" w14:textId="77777777" w:rsidR="00292274" w:rsidRPr="0094561D" w:rsidRDefault="00292274" w:rsidP="00412143">
      <w:pPr>
        <w:pStyle w:val="Default0"/>
        <w:ind w:left="144"/>
        <w:jc w:val="both"/>
        <w:rPr>
          <w:rFonts w:asciiTheme="minorHAnsi" w:eastAsia="Arial" w:hAnsiTheme="minorHAnsi" w:cstheme="minorHAnsi"/>
          <w:bCs/>
          <w:color w:val="auto"/>
          <w:sz w:val="21"/>
          <w:szCs w:val="21"/>
        </w:rPr>
      </w:pPr>
    </w:p>
    <w:p w14:paraId="7CC7CC70" w14:textId="77777777" w:rsidR="00BB5FE5" w:rsidRPr="0094561D" w:rsidRDefault="000459D8" w:rsidP="00412143">
      <w:pPr>
        <w:pStyle w:val="Default0"/>
        <w:ind w:left="144"/>
        <w:jc w:val="both"/>
        <w:rPr>
          <w:rFonts w:asciiTheme="minorHAnsi" w:eastAsia="Arial" w:hAnsiTheme="minorHAnsi" w:cstheme="minorHAnsi"/>
          <w:color w:val="auto"/>
          <w:sz w:val="21"/>
          <w:szCs w:val="21"/>
        </w:rPr>
      </w:pPr>
      <w:r w:rsidRPr="0094561D">
        <w:rPr>
          <w:rFonts w:asciiTheme="minorHAnsi" w:eastAsia="Arial" w:hAnsiTheme="minorHAnsi" w:cstheme="minorHAnsi"/>
          <w:bCs/>
          <w:color w:val="auto"/>
          <w:sz w:val="21"/>
          <w:szCs w:val="21"/>
        </w:rPr>
        <w:t xml:space="preserve">Please </w:t>
      </w:r>
      <w:r w:rsidR="00292274" w:rsidRPr="0094561D">
        <w:rPr>
          <w:rFonts w:asciiTheme="minorHAnsi" w:eastAsia="Arial" w:hAnsiTheme="minorHAnsi" w:cstheme="minorHAnsi"/>
          <w:bCs/>
          <w:color w:val="auto"/>
          <w:sz w:val="21"/>
          <w:szCs w:val="21"/>
        </w:rPr>
        <w:t xml:space="preserve">also </w:t>
      </w:r>
      <w:r w:rsidRPr="0094561D">
        <w:rPr>
          <w:rFonts w:asciiTheme="minorHAnsi" w:eastAsia="Arial" w:hAnsiTheme="minorHAnsi" w:cstheme="minorHAnsi"/>
          <w:bCs/>
          <w:color w:val="auto"/>
          <w:sz w:val="21"/>
          <w:szCs w:val="21"/>
        </w:rPr>
        <w:t>consider that f</w:t>
      </w:r>
      <w:r w:rsidR="00A94A8B" w:rsidRPr="0094561D">
        <w:rPr>
          <w:rFonts w:asciiTheme="minorHAnsi" w:eastAsia="Arial" w:hAnsiTheme="minorHAnsi" w:cstheme="minorHAnsi"/>
          <w:bCs/>
          <w:color w:val="auto"/>
          <w:sz w:val="21"/>
          <w:szCs w:val="21"/>
        </w:rPr>
        <w:t>rom time to time we</w:t>
      </w:r>
      <w:r w:rsidR="00215FE1" w:rsidRPr="0094561D">
        <w:rPr>
          <w:rFonts w:asciiTheme="minorHAnsi" w:eastAsia="Arial" w:hAnsiTheme="minorHAnsi" w:cstheme="minorHAnsi"/>
          <w:bCs/>
          <w:color w:val="auto"/>
          <w:sz w:val="21"/>
          <w:szCs w:val="21"/>
        </w:rPr>
        <w:t xml:space="preserve"> may provide you with </w:t>
      </w:r>
      <w:r w:rsidRPr="0094561D">
        <w:rPr>
          <w:rFonts w:asciiTheme="minorHAnsi" w:eastAsia="Arial" w:hAnsiTheme="minorHAnsi" w:cstheme="minorHAnsi"/>
          <w:bCs/>
          <w:color w:val="auto"/>
          <w:sz w:val="21"/>
          <w:szCs w:val="21"/>
        </w:rPr>
        <w:t xml:space="preserve">additional </w:t>
      </w:r>
      <w:r w:rsidR="00215FE1" w:rsidRPr="0094561D">
        <w:rPr>
          <w:rFonts w:asciiTheme="minorHAnsi" w:eastAsia="Arial" w:hAnsiTheme="minorHAnsi" w:cstheme="minorHAnsi"/>
          <w:bCs/>
          <w:color w:val="auto"/>
          <w:sz w:val="21"/>
          <w:szCs w:val="21"/>
        </w:rPr>
        <w:t>information</w:t>
      </w:r>
      <w:r w:rsidRPr="0094561D">
        <w:rPr>
          <w:rFonts w:asciiTheme="minorHAnsi" w:eastAsia="Arial" w:hAnsiTheme="minorHAnsi" w:cstheme="minorHAnsi"/>
          <w:bCs/>
          <w:color w:val="auto"/>
          <w:sz w:val="21"/>
          <w:szCs w:val="21"/>
        </w:rPr>
        <w:t xml:space="preserve"> and resources</w:t>
      </w:r>
      <w:r w:rsidR="00215FE1" w:rsidRPr="0094561D">
        <w:rPr>
          <w:rFonts w:asciiTheme="minorHAnsi" w:eastAsia="Arial" w:hAnsiTheme="minorHAnsi" w:cstheme="minorHAnsi"/>
          <w:bCs/>
          <w:color w:val="auto"/>
          <w:sz w:val="21"/>
          <w:szCs w:val="21"/>
        </w:rPr>
        <w:t xml:space="preserve"> to assist you with managing your brokerage account</w:t>
      </w:r>
      <w:r w:rsidR="003013D6" w:rsidRPr="0094561D">
        <w:rPr>
          <w:rFonts w:asciiTheme="minorHAnsi" w:eastAsia="Arial" w:hAnsiTheme="minorHAnsi" w:cstheme="minorHAnsi"/>
          <w:bCs/>
          <w:color w:val="auto"/>
          <w:sz w:val="21"/>
          <w:szCs w:val="21"/>
        </w:rPr>
        <w:t xml:space="preserve">. </w:t>
      </w:r>
      <w:r w:rsidR="003013D6" w:rsidRPr="0094561D">
        <w:rPr>
          <w:rFonts w:asciiTheme="minorHAnsi" w:eastAsia="Arial" w:hAnsiTheme="minorHAnsi" w:cstheme="minorHAnsi"/>
          <w:color w:val="auto"/>
          <w:sz w:val="21"/>
          <w:szCs w:val="21"/>
        </w:rPr>
        <w:t>This may include</w:t>
      </w:r>
      <w:r w:rsidR="00EF6587" w:rsidRPr="0094561D">
        <w:rPr>
          <w:rFonts w:asciiTheme="minorHAnsi" w:eastAsia="Arial" w:hAnsiTheme="minorHAnsi" w:cstheme="minorHAnsi"/>
          <w:color w:val="auto"/>
          <w:sz w:val="21"/>
          <w:szCs w:val="21"/>
        </w:rPr>
        <w:t xml:space="preserve"> but is not limited to</w:t>
      </w:r>
      <w:r w:rsidR="003013D6" w:rsidRPr="0094561D">
        <w:rPr>
          <w:rFonts w:asciiTheme="minorHAnsi" w:eastAsia="Arial" w:hAnsiTheme="minorHAnsi" w:cstheme="minorHAnsi"/>
          <w:color w:val="auto"/>
          <w:sz w:val="21"/>
          <w:szCs w:val="21"/>
        </w:rPr>
        <w:t xml:space="preserve"> educational resources, sales </w:t>
      </w:r>
      <w:r w:rsidR="00D048B4" w:rsidRPr="0094561D">
        <w:rPr>
          <w:rFonts w:asciiTheme="minorHAnsi" w:eastAsia="Arial" w:hAnsiTheme="minorHAnsi" w:cstheme="minorHAnsi"/>
          <w:color w:val="auto"/>
          <w:sz w:val="21"/>
          <w:szCs w:val="21"/>
        </w:rPr>
        <w:t xml:space="preserve">and marketing </w:t>
      </w:r>
      <w:r w:rsidR="003013D6" w:rsidRPr="0094561D">
        <w:rPr>
          <w:rFonts w:asciiTheme="minorHAnsi" w:eastAsia="Arial" w:hAnsiTheme="minorHAnsi" w:cstheme="minorHAnsi"/>
          <w:color w:val="auto"/>
          <w:sz w:val="21"/>
          <w:szCs w:val="21"/>
        </w:rPr>
        <w:t>material</w:t>
      </w:r>
      <w:r w:rsidR="00D048B4" w:rsidRPr="0094561D">
        <w:rPr>
          <w:rFonts w:asciiTheme="minorHAnsi" w:eastAsia="Arial" w:hAnsiTheme="minorHAnsi" w:cstheme="minorHAnsi"/>
          <w:color w:val="auto"/>
          <w:sz w:val="21"/>
          <w:szCs w:val="21"/>
        </w:rPr>
        <w:t>s</w:t>
      </w:r>
      <w:r w:rsidR="00EF6587" w:rsidRPr="0094561D">
        <w:rPr>
          <w:rFonts w:asciiTheme="minorHAnsi" w:eastAsia="Arial" w:hAnsiTheme="minorHAnsi" w:cstheme="minorHAnsi"/>
          <w:color w:val="auto"/>
          <w:sz w:val="21"/>
          <w:szCs w:val="21"/>
        </w:rPr>
        <w:t>, performance report</w:t>
      </w:r>
      <w:r w:rsidR="00A94A8B" w:rsidRPr="0094561D">
        <w:rPr>
          <w:rFonts w:asciiTheme="minorHAnsi" w:eastAsia="Arial" w:hAnsiTheme="minorHAnsi" w:cstheme="minorHAnsi"/>
          <w:color w:val="auto"/>
          <w:sz w:val="21"/>
          <w:szCs w:val="21"/>
        </w:rPr>
        <w:t>s</w:t>
      </w:r>
      <w:r w:rsidR="005665E3" w:rsidRPr="0094561D">
        <w:rPr>
          <w:rFonts w:asciiTheme="minorHAnsi" w:eastAsia="Arial" w:hAnsiTheme="minorHAnsi" w:cstheme="minorHAnsi"/>
          <w:color w:val="auto"/>
          <w:sz w:val="21"/>
          <w:szCs w:val="21"/>
        </w:rPr>
        <w:t>, asset allocation guidance, and</w:t>
      </w:r>
      <w:r w:rsidR="00292274" w:rsidRPr="0094561D">
        <w:rPr>
          <w:rFonts w:asciiTheme="minorHAnsi" w:eastAsia="Arial" w:hAnsiTheme="minorHAnsi" w:cstheme="minorHAnsi"/>
          <w:color w:val="auto"/>
          <w:sz w:val="21"/>
          <w:szCs w:val="21"/>
        </w:rPr>
        <w:t>/or</w:t>
      </w:r>
      <w:r w:rsidR="003013D6" w:rsidRPr="0094561D">
        <w:rPr>
          <w:rFonts w:asciiTheme="minorHAnsi" w:eastAsia="Arial" w:hAnsiTheme="minorHAnsi" w:cstheme="minorHAnsi"/>
          <w:color w:val="auto"/>
          <w:sz w:val="21"/>
          <w:szCs w:val="21"/>
        </w:rPr>
        <w:t xml:space="preserve"> periodic </w:t>
      </w:r>
      <w:r w:rsidR="00B74CEF" w:rsidRPr="0094561D">
        <w:rPr>
          <w:rFonts w:asciiTheme="minorHAnsi" w:eastAsia="Arial" w:hAnsiTheme="minorHAnsi" w:cstheme="minorHAnsi"/>
          <w:color w:val="auto"/>
          <w:sz w:val="21"/>
          <w:szCs w:val="21"/>
        </w:rPr>
        <w:t xml:space="preserve">brokerage </w:t>
      </w:r>
      <w:r w:rsidR="003013D6" w:rsidRPr="0094561D">
        <w:rPr>
          <w:rFonts w:asciiTheme="minorHAnsi" w:eastAsia="Arial" w:hAnsiTheme="minorHAnsi" w:cstheme="minorHAnsi"/>
          <w:color w:val="auto"/>
          <w:sz w:val="21"/>
          <w:szCs w:val="21"/>
        </w:rPr>
        <w:t>account review</w:t>
      </w:r>
      <w:r w:rsidR="00EF6587" w:rsidRPr="0094561D">
        <w:rPr>
          <w:rFonts w:asciiTheme="minorHAnsi" w:eastAsia="Arial" w:hAnsiTheme="minorHAnsi" w:cstheme="minorHAnsi"/>
          <w:color w:val="auto"/>
          <w:sz w:val="21"/>
          <w:szCs w:val="21"/>
        </w:rPr>
        <w:t>s.</w:t>
      </w:r>
      <w:r w:rsidR="005665E3" w:rsidRPr="0094561D">
        <w:rPr>
          <w:rFonts w:asciiTheme="minorHAnsi" w:eastAsia="Arial" w:hAnsiTheme="minorHAnsi" w:cstheme="minorHAnsi"/>
          <w:color w:val="auto"/>
          <w:sz w:val="21"/>
          <w:szCs w:val="21"/>
        </w:rPr>
        <w:t xml:space="preserve"> </w:t>
      </w:r>
      <w:r w:rsidR="00D048B4" w:rsidRPr="0094561D">
        <w:rPr>
          <w:rFonts w:asciiTheme="minorHAnsi" w:eastAsia="Arial" w:hAnsiTheme="minorHAnsi" w:cstheme="minorHAnsi"/>
          <w:color w:val="auto"/>
          <w:sz w:val="21"/>
          <w:szCs w:val="21"/>
        </w:rPr>
        <w:t xml:space="preserve">When we offer these services and information, we do so as a courtesy to you. </w:t>
      </w:r>
      <w:r w:rsidR="005665E3" w:rsidRPr="0094561D">
        <w:rPr>
          <w:rFonts w:asciiTheme="minorHAnsi" w:eastAsia="Arial" w:hAnsiTheme="minorHAnsi" w:cstheme="minorHAnsi"/>
          <w:color w:val="auto"/>
          <w:sz w:val="21"/>
          <w:szCs w:val="21"/>
        </w:rPr>
        <w:t xml:space="preserve">These activities </w:t>
      </w:r>
      <w:r w:rsidR="00B74CEF" w:rsidRPr="0094561D">
        <w:rPr>
          <w:rFonts w:asciiTheme="minorHAnsi" w:eastAsia="Arial" w:hAnsiTheme="minorHAnsi" w:cstheme="minorHAnsi"/>
          <w:color w:val="auto"/>
          <w:sz w:val="21"/>
          <w:szCs w:val="21"/>
        </w:rPr>
        <w:t xml:space="preserve">are not designed to </w:t>
      </w:r>
      <w:r w:rsidR="005665E3" w:rsidRPr="0094561D">
        <w:rPr>
          <w:rFonts w:asciiTheme="minorHAnsi" w:eastAsia="Arial" w:hAnsiTheme="minorHAnsi" w:cstheme="minorHAnsi"/>
          <w:color w:val="auto"/>
          <w:sz w:val="21"/>
          <w:szCs w:val="21"/>
        </w:rPr>
        <w:t xml:space="preserve">monitor specific investment holdings </w:t>
      </w:r>
      <w:r w:rsidR="00B74CEF" w:rsidRPr="0094561D">
        <w:rPr>
          <w:rFonts w:asciiTheme="minorHAnsi" w:eastAsia="Arial" w:hAnsiTheme="minorHAnsi" w:cstheme="minorHAnsi"/>
          <w:color w:val="auto"/>
          <w:sz w:val="21"/>
          <w:szCs w:val="21"/>
        </w:rPr>
        <w:t xml:space="preserve">in your brokerage account, they do not </w:t>
      </w:r>
      <w:r w:rsidR="005665E3" w:rsidRPr="0094561D">
        <w:rPr>
          <w:rFonts w:asciiTheme="minorHAnsi" w:eastAsia="Arial" w:hAnsiTheme="minorHAnsi" w:cstheme="minorHAnsi"/>
          <w:color w:val="auto"/>
          <w:sz w:val="21"/>
          <w:szCs w:val="21"/>
        </w:rPr>
        <w:t>contain specific investment recommendations about investment holdings</w:t>
      </w:r>
      <w:r w:rsidR="00D048B4" w:rsidRPr="0094561D">
        <w:rPr>
          <w:rFonts w:asciiTheme="minorHAnsi" w:eastAsia="Arial" w:hAnsiTheme="minorHAnsi" w:cstheme="minorHAnsi"/>
          <w:color w:val="auto"/>
          <w:sz w:val="21"/>
          <w:szCs w:val="21"/>
        </w:rPr>
        <w:t>, and you should not consider them a recommendation</w:t>
      </w:r>
      <w:r w:rsidR="005665E3" w:rsidRPr="0094561D">
        <w:rPr>
          <w:rFonts w:asciiTheme="minorHAnsi" w:eastAsia="Arial" w:hAnsiTheme="minorHAnsi" w:cstheme="minorHAnsi"/>
          <w:color w:val="auto"/>
          <w:sz w:val="21"/>
          <w:szCs w:val="21"/>
        </w:rPr>
        <w:t xml:space="preserve"> to trade or hold any particular securities in your </w:t>
      </w:r>
      <w:r w:rsidR="00B74CEF" w:rsidRPr="0094561D">
        <w:rPr>
          <w:rFonts w:asciiTheme="minorHAnsi" w:eastAsia="Arial" w:hAnsiTheme="minorHAnsi" w:cstheme="minorHAnsi"/>
          <w:color w:val="auto"/>
          <w:sz w:val="21"/>
          <w:szCs w:val="21"/>
        </w:rPr>
        <w:t xml:space="preserve">brokerage </w:t>
      </w:r>
      <w:r w:rsidR="005665E3" w:rsidRPr="0094561D">
        <w:rPr>
          <w:rFonts w:asciiTheme="minorHAnsi" w:eastAsia="Arial" w:hAnsiTheme="minorHAnsi" w:cstheme="minorHAnsi"/>
          <w:color w:val="auto"/>
          <w:sz w:val="21"/>
          <w:szCs w:val="21"/>
        </w:rPr>
        <w:t>account. Upon</w:t>
      </w:r>
      <w:r w:rsidR="00292274" w:rsidRPr="0094561D">
        <w:rPr>
          <w:rFonts w:asciiTheme="minorHAnsi" w:eastAsia="Arial" w:hAnsiTheme="minorHAnsi" w:cstheme="minorHAnsi"/>
          <w:color w:val="auto"/>
          <w:sz w:val="21"/>
          <w:szCs w:val="21"/>
        </w:rPr>
        <w:t xml:space="preserve"> your</w:t>
      </w:r>
      <w:r w:rsidR="005665E3" w:rsidRPr="0094561D">
        <w:rPr>
          <w:rFonts w:asciiTheme="minorHAnsi" w:eastAsia="Arial" w:hAnsiTheme="minorHAnsi" w:cstheme="minorHAnsi"/>
          <w:color w:val="auto"/>
          <w:sz w:val="21"/>
          <w:szCs w:val="21"/>
        </w:rPr>
        <w:t xml:space="preserve"> request, we will review </w:t>
      </w:r>
      <w:r w:rsidR="004714C3" w:rsidRPr="0094561D">
        <w:rPr>
          <w:rFonts w:asciiTheme="minorHAnsi" w:eastAsia="Arial" w:hAnsiTheme="minorHAnsi" w:cstheme="minorHAnsi"/>
          <w:color w:val="auto"/>
          <w:sz w:val="21"/>
          <w:szCs w:val="21"/>
        </w:rPr>
        <w:t>such</w:t>
      </w:r>
      <w:r w:rsidR="00D048B4" w:rsidRPr="0094561D">
        <w:rPr>
          <w:rFonts w:asciiTheme="minorHAnsi" w:eastAsia="Arial" w:hAnsiTheme="minorHAnsi" w:cstheme="minorHAnsi"/>
          <w:color w:val="auto"/>
          <w:sz w:val="21"/>
          <w:szCs w:val="21"/>
        </w:rPr>
        <w:t xml:space="preserve"> information and</w:t>
      </w:r>
      <w:r w:rsidR="00B74CEF" w:rsidRPr="0094561D">
        <w:rPr>
          <w:rFonts w:asciiTheme="minorHAnsi" w:eastAsia="Arial" w:hAnsiTheme="minorHAnsi" w:cstheme="minorHAnsi"/>
          <w:color w:val="auto"/>
          <w:sz w:val="21"/>
          <w:szCs w:val="21"/>
        </w:rPr>
        <w:t xml:space="preserve"> reports</w:t>
      </w:r>
      <w:r w:rsidR="005665E3" w:rsidRPr="0094561D">
        <w:rPr>
          <w:rFonts w:asciiTheme="minorHAnsi" w:eastAsia="Arial" w:hAnsiTheme="minorHAnsi" w:cstheme="minorHAnsi"/>
          <w:color w:val="auto"/>
          <w:sz w:val="21"/>
          <w:szCs w:val="21"/>
        </w:rPr>
        <w:t xml:space="preserve"> with you and may provide you with investment recommendations</w:t>
      </w:r>
      <w:r w:rsidR="004714C3" w:rsidRPr="0094561D">
        <w:rPr>
          <w:rFonts w:asciiTheme="minorHAnsi" w:eastAsia="Arial" w:hAnsiTheme="minorHAnsi" w:cstheme="minorHAnsi"/>
          <w:color w:val="auto"/>
          <w:sz w:val="21"/>
          <w:szCs w:val="21"/>
        </w:rPr>
        <w:t>,</w:t>
      </w:r>
      <w:r w:rsidR="005665E3" w:rsidRPr="0094561D">
        <w:rPr>
          <w:rFonts w:asciiTheme="minorHAnsi" w:eastAsia="Arial" w:hAnsiTheme="minorHAnsi" w:cstheme="minorHAnsi"/>
          <w:color w:val="auto"/>
          <w:sz w:val="21"/>
          <w:szCs w:val="21"/>
        </w:rPr>
        <w:t xml:space="preserve"> but we are not under a specific obligation to do so. </w:t>
      </w:r>
    </w:p>
    <w:p w14:paraId="22807F4A" w14:textId="77777777" w:rsidR="007C1172" w:rsidRPr="0094561D" w:rsidRDefault="007C1172" w:rsidP="00BB5FE5">
      <w:pPr>
        <w:pStyle w:val="Default0"/>
        <w:ind w:left="120"/>
        <w:rPr>
          <w:rFonts w:asciiTheme="minorHAnsi" w:eastAsia="Arial" w:hAnsiTheme="minorHAnsi" w:cstheme="minorHAnsi"/>
          <w:b/>
          <w:color w:val="auto"/>
          <w:sz w:val="21"/>
          <w:szCs w:val="21"/>
        </w:rPr>
      </w:pPr>
    </w:p>
    <w:p w14:paraId="0DD56408" w14:textId="617361EC" w:rsidR="00695F04" w:rsidRPr="0094561D" w:rsidRDefault="00695F04" w:rsidP="00BB5FE5">
      <w:pPr>
        <w:pStyle w:val="Default0"/>
        <w:ind w:left="120"/>
        <w:rPr>
          <w:rFonts w:asciiTheme="minorHAnsi" w:eastAsia="Arial" w:hAnsiTheme="minorHAnsi" w:cstheme="minorHAnsi"/>
          <w:color w:val="auto"/>
          <w:sz w:val="21"/>
          <w:szCs w:val="21"/>
        </w:rPr>
      </w:pPr>
      <w:r w:rsidRPr="0094561D">
        <w:rPr>
          <w:rFonts w:asciiTheme="minorHAnsi" w:eastAsia="Arial" w:hAnsiTheme="minorHAnsi" w:cstheme="minorHAnsi"/>
          <w:b/>
          <w:color w:val="auto"/>
          <w:sz w:val="21"/>
          <w:szCs w:val="21"/>
        </w:rPr>
        <w:t>Clearing Services</w:t>
      </w:r>
    </w:p>
    <w:p w14:paraId="4E6B3D74" w14:textId="15C0339A" w:rsidR="00695F04" w:rsidRPr="0094561D" w:rsidRDefault="00A049CF" w:rsidP="00412143">
      <w:pPr>
        <w:pStyle w:val="Default0"/>
        <w:ind w:left="144"/>
        <w:jc w:val="both"/>
        <w:rPr>
          <w:rFonts w:asciiTheme="minorHAnsi" w:eastAsia="Arial" w:hAnsiTheme="minorHAnsi" w:cstheme="minorHAnsi"/>
          <w:color w:val="auto"/>
          <w:sz w:val="21"/>
          <w:szCs w:val="21"/>
        </w:rPr>
      </w:pPr>
      <w:r w:rsidRPr="0094561D">
        <w:rPr>
          <w:rFonts w:asciiTheme="minorHAnsi" w:eastAsia="Arial" w:hAnsiTheme="minorHAnsi" w:cstheme="minorHAnsi"/>
          <w:color w:val="auto"/>
          <w:sz w:val="21"/>
          <w:szCs w:val="21"/>
        </w:rPr>
        <w:t xml:space="preserve">We have entered into </w:t>
      </w:r>
      <w:r w:rsidR="0076072D" w:rsidRPr="0094561D">
        <w:rPr>
          <w:rFonts w:asciiTheme="minorHAnsi" w:eastAsia="Arial" w:hAnsiTheme="minorHAnsi" w:cstheme="minorHAnsi"/>
          <w:color w:val="auto"/>
          <w:sz w:val="21"/>
          <w:szCs w:val="21"/>
        </w:rPr>
        <w:t xml:space="preserve">clearing and custody </w:t>
      </w:r>
      <w:r w:rsidRPr="0094561D">
        <w:rPr>
          <w:rFonts w:asciiTheme="minorHAnsi" w:eastAsia="Arial" w:hAnsiTheme="minorHAnsi" w:cstheme="minorHAnsi"/>
          <w:color w:val="auto"/>
          <w:sz w:val="21"/>
          <w:szCs w:val="21"/>
        </w:rPr>
        <w:t>agreement</w:t>
      </w:r>
      <w:r w:rsidR="0076072D" w:rsidRPr="0094561D">
        <w:rPr>
          <w:rFonts w:asciiTheme="minorHAnsi" w:eastAsia="Arial" w:hAnsiTheme="minorHAnsi" w:cstheme="minorHAnsi"/>
          <w:color w:val="auto"/>
          <w:sz w:val="21"/>
          <w:szCs w:val="21"/>
        </w:rPr>
        <w:t>s</w:t>
      </w:r>
      <w:r w:rsidRPr="0094561D">
        <w:rPr>
          <w:rFonts w:asciiTheme="minorHAnsi" w:eastAsia="Arial" w:hAnsiTheme="minorHAnsi" w:cstheme="minorHAnsi"/>
          <w:color w:val="auto"/>
          <w:sz w:val="21"/>
          <w:szCs w:val="21"/>
        </w:rPr>
        <w:t xml:space="preserve"> with </w:t>
      </w:r>
      <w:r w:rsidR="0076072D" w:rsidRPr="0094561D">
        <w:rPr>
          <w:rFonts w:asciiTheme="minorHAnsi" w:eastAsia="Arial" w:hAnsiTheme="minorHAnsi" w:cstheme="minorHAnsi"/>
          <w:color w:val="auto"/>
          <w:sz w:val="21"/>
          <w:szCs w:val="21"/>
        </w:rPr>
        <w:t xml:space="preserve">Pershing </w:t>
      </w:r>
      <w:r w:rsidR="00A615AE" w:rsidRPr="0094561D">
        <w:rPr>
          <w:rFonts w:asciiTheme="minorHAnsi" w:eastAsia="Arial" w:hAnsiTheme="minorHAnsi" w:cstheme="minorHAnsi"/>
          <w:color w:val="auto"/>
          <w:sz w:val="21"/>
          <w:szCs w:val="21"/>
        </w:rPr>
        <w:t xml:space="preserve">(also referred to herein as </w:t>
      </w:r>
      <w:r w:rsidR="0076072D" w:rsidRPr="0094561D">
        <w:rPr>
          <w:rFonts w:asciiTheme="minorHAnsi" w:eastAsia="Arial" w:hAnsiTheme="minorHAnsi" w:cstheme="minorHAnsi"/>
          <w:color w:val="auto"/>
          <w:sz w:val="21"/>
          <w:szCs w:val="21"/>
        </w:rPr>
        <w:t xml:space="preserve">our </w:t>
      </w:r>
      <w:r w:rsidR="00A615AE" w:rsidRPr="0094561D">
        <w:rPr>
          <w:rFonts w:asciiTheme="minorHAnsi" w:eastAsia="Arial" w:hAnsiTheme="minorHAnsi" w:cstheme="minorHAnsi"/>
          <w:color w:val="auto"/>
          <w:sz w:val="21"/>
          <w:szCs w:val="21"/>
        </w:rPr>
        <w:t xml:space="preserve">“Clearing Agent”) </w:t>
      </w:r>
      <w:r w:rsidRPr="0094561D">
        <w:rPr>
          <w:rFonts w:asciiTheme="minorHAnsi" w:eastAsia="Arial" w:hAnsiTheme="minorHAnsi" w:cstheme="minorHAnsi"/>
          <w:color w:val="auto"/>
          <w:sz w:val="21"/>
          <w:szCs w:val="21"/>
        </w:rPr>
        <w:t xml:space="preserve">to carry your account and provide certain back office functions. We and </w:t>
      </w:r>
      <w:r w:rsidR="008F2B54" w:rsidRPr="0094561D">
        <w:rPr>
          <w:rFonts w:asciiTheme="minorHAnsi" w:eastAsia="Arial" w:hAnsiTheme="minorHAnsi" w:cstheme="minorHAnsi"/>
          <w:color w:val="auto"/>
          <w:sz w:val="21"/>
          <w:szCs w:val="21"/>
        </w:rPr>
        <w:t>the clearing firm</w:t>
      </w:r>
      <w:r w:rsidRPr="0094561D">
        <w:rPr>
          <w:rFonts w:asciiTheme="minorHAnsi" w:eastAsia="Arial" w:hAnsiTheme="minorHAnsi" w:cstheme="minorHAnsi"/>
          <w:color w:val="auto"/>
          <w:sz w:val="21"/>
          <w:szCs w:val="21"/>
        </w:rPr>
        <w:t xml:space="preserve"> share responsibilities with respect to your account as set forth in the Designation of Responsibilities that was delivered to you upon opening of your account.  Please refer to the Designation of Responsibilities for more information on how such responsibilities have been allocated between us.</w:t>
      </w:r>
    </w:p>
    <w:p w14:paraId="4C0A645B" w14:textId="56695F96" w:rsidR="001B01E1" w:rsidRPr="0094561D" w:rsidRDefault="001B01E1" w:rsidP="00412143">
      <w:pPr>
        <w:pStyle w:val="Default0"/>
        <w:ind w:left="144"/>
        <w:jc w:val="both"/>
        <w:rPr>
          <w:rFonts w:asciiTheme="minorHAnsi" w:eastAsia="Arial" w:hAnsiTheme="minorHAnsi" w:cstheme="minorHAnsi"/>
          <w:color w:val="auto"/>
          <w:sz w:val="21"/>
          <w:szCs w:val="21"/>
        </w:rPr>
      </w:pPr>
    </w:p>
    <w:p w14:paraId="278E97B7" w14:textId="77777777" w:rsidR="00C05B84" w:rsidRPr="0094561D" w:rsidRDefault="00C05B84" w:rsidP="00412143">
      <w:pPr>
        <w:pStyle w:val="Default0"/>
        <w:ind w:left="144"/>
        <w:rPr>
          <w:rFonts w:asciiTheme="minorHAnsi" w:hAnsiTheme="minorHAnsi" w:cstheme="minorHAnsi"/>
          <w:b/>
          <w:sz w:val="21"/>
          <w:szCs w:val="21"/>
        </w:rPr>
      </w:pPr>
      <w:r w:rsidRPr="0094561D">
        <w:rPr>
          <w:rFonts w:asciiTheme="minorHAnsi" w:hAnsiTheme="minorHAnsi" w:cstheme="minorHAnsi"/>
          <w:b/>
          <w:sz w:val="21"/>
          <w:szCs w:val="21"/>
        </w:rPr>
        <w:t>How Services are Tailored to Fit Client Needs</w:t>
      </w:r>
    </w:p>
    <w:p w14:paraId="245F1662" w14:textId="7489255E" w:rsidR="00C05B84" w:rsidRPr="0094561D" w:rsidRDefault="00B76E7E" w:rsidP="00412143">
      <w:pPr>
        <w:pStyle w:val="Default0"/>
        <w:ind w:left="144"/>
        <w:jc w:val="both"/>
        <w:rPr>
          <w:rFonts w:asciiTheme="minorHAnsi" w:hAnsiTheme="minorHAnsi" w:cstheme="minorHAnsi"/>
          <w:sz w:val="21"/>
          <w:szCs w:val="21"/>
        </w:rPr>
      </w:pPr>
      <w:r>
        <w:rPr>
          <w:rFonts w:asciiTheme="minorHAnsi" w:hAnsiTheme="minorHAnsi" w:cstheme="minorHAnsi"/>
          <w:sz w:val="21"/>
          <w:szCs w:val="21"/>
        </w:rPr>
        <w:t>Tigress</w:t>
      </w:r>
      <w:r w:rsidR="00C05B84" w:rsidRPr="0094561D">
        <w:rPr>
          <w:rFonts w:asciiTheme="minorHAnsi" w:hAnsiTheme="minorHAnsi" w:cstheme="minorHAnsi"/>
          <w:sz w:val="21"/>
          <w:szCs w:val="21"/>
        </w:rPr>
        <w:t xml:space="preserve">' investment policy and recommendation process </w:t>
      </w:r>
      <w:r w:rsidR="00B31515" w:rsidRPr="0094561D">
        <w:rPr>
          <w:rFonts w:asciiTheme="minorHAnsi" w:hAnsiTheme="minorHAnsi" w:cstheme="minorHAnsi"/>
          <w:sz w:val="21"/>
          <w:szCs w:val="21"/>
        </w:rPr>
        <w:t>are</w:t>
      </w:r>
      <w:r w:rsidR="00C05B84" w:rsidRPr="0094561D">
        <w:rPr>
          <w:rFonts w:asciiTheme="minorHAnsi" w:hAnsiTheme="minorHAnsi" w:cstheme="minorHAnsi"/>
          <w:sz w:val="21"/>
          <w:szCs w:val="21"/>
        </w:rPr>
        <w:t xml:space="preserve"> centered on the customer.  We work with our customers to understand their financial circumstances and goals.  Creation of the investor profile is our first step.  Your investor profile serves as the governing document for all investment decision making and recommendations made by your Financial Professional. The investor profile is a tool that focuses on translating client goals into a set of investment objectives. These objectives involve risk tolerance from both a willingness and ability to accept financial risk as well as return objectives.</w:t>
      </w:r>
    </w:p>
    <w:p w14:paraId="6EEA6B57" w14:textId="77777777" w:rsidR="00C05B84" w:rsidRPr="0094561D" w:rsidRDefault="00C05B84" w:rsidP="00412143">
      <w:pPr>
        <w:pStyle w:val="Default0"/>
        <w:ind w:left="144"/>
        <w:jc w:val="both"/>
        <w:rPr>
          <w:rFonts w:asciiTheme="minorHAnsi" w:hAnsiTheme="minorHAnsi" w:cstheme="minorHAnsi"/>
          <w:sz w:val="21"/>
          <w:szCs w:val="21"/>
        </w:rPr>
      </w:pPr>
    </w:p>
    <w:p w14:paraId="3224DC39" w14:textId="2300B81F" w:rsidR="00C05B84" w:rsidRPr="0094561D" w:rsidRDefault="00C05B84" w:rsidP="00412143">
      <w:pPr>
        <w:pStyle w:val="Default0"/>
        <w:ind w:left="144"/>
        <w:jc w:val="both"/>
        <w:rPr>
          <w:rFonts w:asciiTheme="minorHAnsi" w:hAnsiTheme="minorHAnsi" w:cstheme="minorHAnsi"/>
          <w:sz w:val="21"/>
          <w:szCs w:val="21"/>
        </w:rPr>
      </w:pPr>
      <w:r w:rsidRPr="0094561D">
        <w:rPr>
          <w:rFonts w:asciiTheme="minorHAnsi" w:hAnsiTheme="minorHAnsi" w:cstheme="minorHAnsi"/>
          <w:sz w:val="21"/>
          <w:szCs w:val="21"/>
        </w:rPr>
        <w:t xml:space="preserve">In addition, your investor profile provides a framework for </w:t>
      </w:r>
      <w:r w:rsidR="00B76E7E">
        <w:rPr>
          <w:rFonts w:asciiTheme="minorHAnsi" w:hAnsiTheme="minorHAnsi" w:cstheme="minorHAnsi"/>
          <w:sz w:val="21"/>
          <w:szCs w:val="21"/>
        </w:rPr>
        <w:t>Tigress</w:t>
      </w:r>
      <w:r w:rsidRPr="0094561D">
        <w:rPr>
          <w:rFonts w:asciiTheme="minorHAnsi" w:hAnsiTheme="minorHAnsi" w:cstheme="minorHAnsi"/>
          <w:sz w:val="21"/>
          <w:szCs w:val="21"/>
        </w:rPr>
        <w:t xml:space="preserve"> to discuss with you the processes we will utilize for making brokerage account recommendations.  The investor profile helps us work with you to establish:</w:t>
      </w:r>
    </w:p>
    <w:p w14:paraId="04A7EA20" w14:textId="6D2EC51D" w:rsidR="00C05B84" w:rsidRPr="0094561D" w:rsidRDefault="00C05B84" w:rsidP="00C05B84">
      <w:pPr>
        <w:pStyle w:val="Default0"/>
        <w:numPr>
          <w:ilvl w:val="0"/>
          <w:numId w:val="29"/>
        </w:numPr>
        <w:rPr>
          <w:rFonts w:asciiTheme="minorHAnsi" w:hAnsiTheme="minorHAnsi" w:cstheme="minorHAnsi"/>
          <w:sz w:val="21"/>
          <w:szCs w:val="21"/>
        </w:rPr>
      </w:pPr>
      <w:r w:rsidRPr="0094561D">
        <w:rPr>
          <w:rFonts w:asciiTheme="minorHAnsi" w:hAnsiTheme="minorHAnsi" w:cstheme="minorHAnsi"/>
          <w:sz w:val="21"/>
          <w:szCs w:val="21"/>
        </w:rPr>
        <w:t>Your risk tolerance</w:t>
      </w:r>
    </w:p>
    <w:p w14:paraId="364CE2D8" w14:textId="4F70A028" w:rsidR="00C05B84" w:rsidRPr="0094561D" w:rsidRDefault="00C05B84" w:rsidP="00C05B84">
      <w:pPr>
        <w:pStyle w:val="Default0"/>
        <w:numPr>
          <w:ilvl w:val="0"/>
          <w:numId w:val="29"/>
        </w:numPr>
        <w:rPr>
          <w:rFonts w:asciiTheme="minorHAnsi" w:hAnsiTheme="minorHAnsi" w:cstheme="minorHAnsi"/>
          <w:sz w:val="21"/>
          <w:szCs w:val="21"/>
        </w:rPr>
      </w:pPr>
      <w:r w:rsidRPr="0094561D">
        <w:rPr>
          <w:rFonts w:asciiTheme="minorHAnsi" w:hAnsiTheme="minorHAnsi" w:cstheme="minorHAnsi"/>
          <w:sz w:val="21"/>
          <w:szCs w:val="21"/>
        </w:rPr>
        <w:t>Your level of investment background and experience</w:t>
      </w:r>
    </w:p>
    <w:p w14:paraId="2EBD10CC" w14:textId="401B8E75" w:rsidR="00C05B84" w:rsidRPr="0094561D" w:rsidRDefault="00C05B84" w:rsidP="00C05B84">
      <w:pPr>
        <w:pStyle w:val="Default0"/>
        <w:numPr>
          <w:ilvl w:val="0"/>
          <w:numId w:val="29"/>
        </w:numPr>
        <w:rPr>
          <w:rFonts w:asciiTheme="minorHAnsi" w:hAnsiTheme="minorHAnsi" w:cstheme="minorHAnsi"/>
          <w:sz w:val="21"/>
          <w:szCs w:val="21"/>
        </w:rPr>
      </w:pPr>
      <w:r w:rsidRPr="0094561D">
        <w:rPr>
          <w:rFonts w:asciiTheme="minorHAnsi" w:hAnsiTheme="minorHAnsi" w:cstheme="minorHAnsi"/>
          <w:sz w:val="21"/>
          <w:szCs w:val="21"/>
        </w:rPr>
        <w:t>Your unique financial situation</w:t>
      </w:r>
    </w:p>
    <w:p w14:paraId="7C34EF0C" w14:textId="47935D52" w:rsidR="00C05B84" w:rsidRPr="0094561D" w:rsidRDefault="00B31515" w:rsidP="00C05B84">
      <w:pPr>
        <w:pStyle w:val="Default0"/>
        <w:numPr>
          <w:ilvl w:val="0"/>
          <w:numId w:val="29"/>
        </w:numPr>
        <w:rPr>
          <w:rFonts w:asciiTheme="minorHAnsi" w:hAnsiTheme="minorHAnsi" w:cstheme="minorHAnsi"/>
          <w:sz w:val="21"/>
          <w:szCs w:val="21"/>
        </w:rPr>
      </w:pPr>
      <w:r w:rsidRPr="0094561D">
        <w:rPr>
          <w:rFonts w:asciiTheme="minorHAnsi" w:hAnsiTheme="minorHAnsi" w:cstheme="minorHAnsi"/>
          <w:sz w:val="21"/>
          <w:szCs w:val="21"/>
        </w:rPr>
        <w:t>Goal setting</w:t>
      </w:r>
    </w:p>
    <w:p w14:paraId="7D40A2E7" w14:textId="4C6CCAAB" w:rsidR="00C05B84" w:rsidRPr="0094561D" w:rsidRDefault="00C05B84" w:rsidP="00C05B84">
      <w:pPr>
        <w:pStyle w:val="Default0"/>
        <w:numPr>
          <w:ilvl w:val="0"/>
          <w:numId w:val="29"/>
        </w:numPr>
        <w:rPr>
          <w:rFonts w:asciiTheme="minorHAnsi" w:hAnsiTheme="minorHAnsi" w:cstheme="minorHAnsi"/>
          <w:sz w:val="21"/>
          <w:szCs w:val="21"/>
        </w:rPr>
      </w:pPr>
      <w:r w:rsidRPr="0094561D">
        <w:rPr>
          <w:rFonts w:asciiTheme="minorHAnsi" w:hAnsiTheme="minorHAnsi" w:cstheme="minorHAnsi"/>
          <w:sz w:val="21"/>
          <w:szCs w:val="21"/>
        </w:rPr>
        <w:t xml:space="preserve">A plan for when and how often you would like to interact with your registered representative </w:t>
      </w:r>
    </w:p>
    <w:p w14:paraId="33B66FBB" w14:textId="77777777" w:rsidR="00C05B84" w:rsidRPr="0094561D" w:rsidRDefault="00C05B84" w:rsidP="00C05B84">
      <w:pPr>
        <w:pStyle w:val="Default0"/>
        <w:ind w:left="120"/>
        <w:rPr>
          <w:rFonts w:asciiTheme="minorHAnsi" w:hAnsiTheme="minorHAnsi" w:cstheme="minorHAnsi"/>
          <w:sz w:val="21"/>
          <w:szCs w:val="21"/>
        </w:rPr>
      </w:pPr>
    </w:p>
    <w:p w14:paraId="78E92907" w14:textId="0D5C363D" w:rsidR="00C05B84" w:rsidRDefault="00C05B84" w:rsidP="00412143">
      <w:pPr>
        <w:pStyle w:val="Default0"/>
        <w:ind w:left="144"/>
        <w:jc w:val="both"/>
        <w:rPr>
          <w:rFonts w:asciiTheme="minorHAnsi" w:hAnsiTheme="minorHAnsi" w:cstheme="minorHAnsi"/>
          <w:sz w:val="21"/>
          <w:szCs w:val="21"/>
        </w:rPr>
      </w:pPr>
      <w:r w:rsidRPr="0094561D">
        <w:rPr>
          <w:rFonts w:asciiTheme="minorHAnsi" w:hAnsiTheme="minorHAnsi" w:cstheme="minorHAnsi"/>
          <w:sz w:val="21"/>
          <w:szCs w:val="21"/>
        </w:rPr>
        <w:t>Customers may stipulate if they would like to restrict us from purchasing certain products or securities in their account.  We will comply with any reasonable instructions and/or restrictions you give us when making recommendations for your account. Reasonable instructions generally include the designation of particular mutual fund/securities or types of mutual funds/securities that should not be purchased for the account.</w:t>
      </w:r>
    </w:p>
    <w:p w14:paraId="48B7ADFD" w14:textId="77777777" w:rsidR="00811BAB" w:rsidRDefault="00811BAB" w:rsidP="00412143">
      <w:pPr>
        <w:pStyle w:val="Default0"/>
        <w:ind w:left="144"/>
        <w:jc w:val="both"/>
        <w:rPr>
          <w:rFonts w:asciiTheme="minorHAnsi" w:hAnsiTheme="minorHAnsi" w:cstheme="minorHAnsi"/>
          <w:sz w:val="21"/>
          <w:szCs w:val="21"/>
        </w:rPr>
      </w:pPr>
    </w:p>
    <w:p w14:paraId="49927265" w14:textId="77777777" w:rsidR="0028253E" w:rsidRPr="0094561D" w:rsidRDefault="0028253E" w:rsidP="00412143">
      <w:pPr>
        <w:pStyle w:val="Default0"/>
        <w:ind w:left="144"/>
        <w:jc w:val="both"/>
        <w:rPr>
          <w:rFonts w:asciiTheme="minorHAnsi" w:hAnsiTheme="minorHAnsi" w:cstheme="minorHAnsi"/>
          <w:sz w:val="21"/>
          <w:szCs w:val="21"/>
        </w:rPr>
      </w:pPr>
    </w:p>
    <w:p w14:paraId="23D7F86A" w14:textId="77777777" w:rsidR="00C05B84" w:rsidRPr="0094561D" w:rsidRDefault="00C05B84" w:rsidP="00412143">
      <w:pPr>
        <w:pStyle w:val="Default0"/>
        <w:ind w:left="144"/>
        <w:rPr>
          <w:rFonts w:asciiTheme="minorHAnsi" w:hAnsiTheme="minorHAnsi" w:cstheme="minorHAnsi"/>
          <w:sz w:val="21"/>
          <w:szCs w:val="21"/>
        </w:rPr>
      </w:pPr>
    </w:p>
    <w:p w14:paraId="3484B356" w14:textId="77777777" w:rsidR="00386410" w:rsidRPr="0094561D" w:rsidRDefault="008739CE" w:rsidP="00412143">
      <w:pPr>
        <w:pStyle w:val="Default0"/>
        <w:ind w:left="144" w:firstLine="30"/>
        <w:jc w:val="both"/>
        <w:rPr>
          <w:rFonts w:asciiTheme="minorHAnsi" w:eastAsia="Arial" w:hAnsiTheme="minorHAnsi" w:cstheme="minorHAnsi"/>
          <w:b/>
          <w:bCs/>
          <w:color w:val="auto"/>
          <w:sz w:val="21"/>
          <w:szCs w:val="21"/>
        </w:rPr>
      </w:pPr>
      <w:r w:rsidRPr="0094561D">
        <w:rPr>
          <w:rFonts w:asciiTheme="minorHAnsi" w:eastAsia="Arial" w:hAnsiTheme="minorHAnsi" w:cstheme="minorHAnsi"/>
          <w:b/>
          <w:bCs/>
          <w:color w:val="auto"/>
          <w:sz w:val="21"/>
          <w:szCs w:val="21"/>
        </w:rPr>
        <w:lastRenderedPageBreak/>
        <w:t>Unders</w:t>
      </w:r>
      <w:r w:rsidR="00151284" w:rsidRPr="0094561D">
        <w:rPr>
          <w:rFonts w:asciiTheme="minorHAnsi" w:eastAsia="Arial" w:hAnsiTheme="minorHAnsi" w:cstheme="minorHAnsi"/>
          <w:b/>
          <w:bCs/>
          <w:color w:val="auto"/>
          <w:sz w:val="21"/>
          <w:szCs w:val="21"/>
        </w:rPr>
        <w:t>tanding Risk</w:t>
      </w:r>
    </w:p>
    <w:p w14:paraId="61E0C7D4" w14:textId="0BA04084" w:rsidR="00823336" w:rsidRPr="0094561D" w:rsidRDefault="00CC739F" w:rsidP="00412143">
      <w:pPr>
        <w:pStyle w:val="Heading2"/>
        <w:ind w:left="144"/>
        <w:jc w:val="both"/>
        <w:rPr>
          <w:rFonts w:asciiTheme="minorHAnsi" w:hAnsiTheme="minorHAnsi" w:cstheme="minorHAnsi"/>
          <w:b w:val="0"/>
          <w:bCs w:val="0"/>
          <w:sz w:val="21"/>
          <w:szCs w:val="21"/>
        </w:rPr>
      </w:pPr>
      <w:bookmarkStart w:id="4" w:name="_Toc38290466"/>
      <w:r w:rsidRPr="0094561D">
        <w:rPr>
          <w:rFonts w:asciiTheme="minorHAnsi" w:hAnsiTheme="minorHAnsi" w:cstheme="minorHAnsi"/>
          <w:b w:val="0"/>
          <w:bCs w:val="0"/>
          <w:sz w:val="21"/>
          <w:szCs w:val="21"/>
        </w:rPr>
        <w:t>It is important for you to understand that all investment</w:t>
      </w:r>
      <w:r w:rsidR="00251820" w:rsidRPr="0094561D">
        <w:rPr>
          <w:rFonts w:asciiTheme="minorHAnsi" w:hAnsiTheme="minorHAnsi" w:cstheme="minorHAnsi"/>
          <w:b w:val="0"/>
          <w:bCs w:val="0"/>
          <w:sz w:val="21"/>
          <w:szCs w:val="21"/>
        </w:rPr>
        <w:t xml:space="preserve"> recommendations and activities</w:t>
      </w:r>
      <w:r w:rsidRPr="0094561D">
        <w:rPr>
          <w:rFonts w:asciiTheme="minorHAnsi" w:hAnsiTheme="minorHAnsi" w:cstheme="minorHAnsi"/>
          <w:b w:val="0"/>
          <w:bCs w:val="0"/>
          <w:sz w:val="21"/>
          <w:szCs w:val="21"/>
        </w:rPr>
        <w:t xml:space="preserve"> involve risk, including the </w:t>
      </w:r>
      <w:r w:rsidR="00823336" w:rsidRPr="0094561D">
        <w:rPr>
          <w:rFonts w:asciiTheme="minorHAnsi" w:hAnsiTheme="minorHAnsi" w:cstheme="minorHAnsi"/>
          <w:b w:val="0"/>
          <w:bCs w:val="0"/>
          <w:sz w:val="21"/>
          <w:szCs w:val="21"/>
        </w:rPr>
        <w:t xml:space="preserve">risk that you may lose </w:t>
      </w:r>
      <w:r w:rsidR="00B31515" w:rsidRPr="0094561D">
        <w:rPr>
          <w:rFonts w:asciiTheme="minorHAnsi" w:hAnsiTheme="minorHAnsi" w:cstheme="minorHAnsi"/>
          <w:b w:val="0"/>
          <w:bCs w:val="0"/>
          <w:sz w:val="21"/>
          <w:szCs w:val="21"/>
        </w:rPr>
        <w:t xml:space="preserve">some of or </w:t>
      </w:r>
      <w:r w:rsidR="00823336" w:rsidRPr="0094561D">
        <w:rPr>
          <w:rFonts w:asciiTheme="minorHAnsi" w:hAnsiTheme="minorHAnsi" w:cstheme="minorHAnsi"/>
          <w:b w:val="0"/>
          <w:bCs w:val="0"/>
          <w:sz w:val="21"/>
          <w:szCs w:val="21"/>
        </w:rPr>
        <w:t>your entire principal</w:t>
      </w:r>
      <w:r w:rsidRPr="0094561D">
        <w:rPr>
          <w:rFonts w:asciiTheme="minorHAnsi" w:hAnsiTheme="minorHAnsi" w:cstheme="minorHAnsi"/>
          <w:b w:val="0"/>
          <w:bCs w:val="0"/>
          <w:sz w:val="21"/>
          <w:szCs w:val="21"/>
        </w:rPr>
        <w:t xml:space="preserve">. </w:t>
      </w:r>
      <w:r w:rsidR="002F2A3E" w:rsidRPr="0094561D">
        <w:rPr>
          <w:rFonts w:asciiTheme="minorHAnsi" w:hAnsiTheme="minorHAnsi" w:cstheme="minorHAnsi"/>
          <w:b w:val="0"/>
          <w:bCs w:val="0"/>
          <w:sz w:val="21"/>
          <w:szCs w:val="21"/>
        </w:rPr>
        <w:t>Further,</w:t>
      </w:r>
      <w:r w:rsidRPr="0094561D">
        <w:rPr>
          <w:rFonts w:asciiTheme="minorHAnsi" w:hAnsiTheme="minorHAnsi" w:cstheme="minorHAnsi"/>
          <w:b w:val="0"/>
          <w:bCs w:val="0"/>
          <w:sz w:val="21"/>
          <w:szCs w:val="21"/>
        </w:rPr>
        <w:t xml:space="preserve"> some investments involve more risk than other investments. </w:t>
      </w:r>
      <w:r w:rsidR="00C41E49" w:rsidRPr="0094561D">
        <w:rPr>
          <w:rFonts w:asciiTheme="minorHAnsi" w:hAnsiTheme="minorHAnsi" w:cstheme="minorHAnsi"/>
          <w:b w:val="0"/>
          <w:bCs w:val="0"/>
          <w:sz w:val="21"/>
          <w:szCs w:val="21"/>
        </w:rPr>
        <w:t xml:space="preserve">Higher-risk investments may have the potential for higher returns but also for greater losses. The higher your </w:t>
      </w:r>
      <w:r w:rsidR="0016368C" w:rsidRPr="0094561D">
        <w:rPr>
          <w:rFonts w:asciiTheme="minorHAnsi" w:hAnsiTheme="minorHAnsi" w:cstheme="minorHAnsi"/>
          <w:b w:val="0"/>
          <w:bCs w:val="0"/>
          <w:sz w:val="21"/>
          <w:szCs w:val="21"/>
        </w:rPr>
        <w:t>“</w:t>
      </w:r>
      <w:r w:rsidR="00C41E49" w:rsidRPr="0094561D">
        <w:rPr>
          <w:rFonts w:asciiTheme="minorHAnsi" w:hAnsiTheme="minorHAnsi" w:cstheme="minorHAnsi"/>
          <w:b w:val="0"/>
          <w:bCs w:val="0"/>
          <w:sz w:val="21"/>
          <w:szCs w:val="21"/>
        </w:rPr>
        <w:t>risk tolerance,</w:t>
      </w:r>
      <w:r w:rsidR="0016368C" w:rsidRPr="0094561D">
        <w:rPr>
          <w:rFonts w:asciiTheme="minorHAnsi" w:hAnsiTheme="minorHAnsi" w:cstheme="minorHAnsi"/>
          <w:b w:val="0"/>
          <w:bCs w:val="0"/>
          <w:sz w:val="21"/>
          <w:szCs w:val="21"/>
        </w:rPr>
        <w:t>”</w:t>
      </w:r>
      <w:r w:rsidRPr="0094561D">
        <w:rPr>
          <w:rFonts w:asciiTheme="minorHAnsi" w:hAnsiTheme="minorHAnsi" w:cstheme="minorHAnsi"/>
          <w:b w:val="0"/>
          <w:bCs w:val="0"/>
          <w:sz w:val="21"/>
          <w:szCs w:val="21"/>
        </w:rPr>
        <w:t xml:space="preserve"> meaning the amount of risk or loss you are willing and able to accept in order to achieve your investment goals,</w:t>
      </w:r>
      <w:r w:rsidR="00C41E49" w:rsidRPr="0094561D">
        <w:rPr>
          <w:rFonts w:asciiTheme="minorHAnsi" w:hAnsiTheme="minorHAnsi" w:cstheme="minorHAnsi"/>
          <w:b w:val="0"/>
          <w:bCs w:val="0"/>
          <w:sz w:val="21"/>
          <w:szCs w:val="21"/>
        </w:rPr>
        <w:t xml:space="preserve"> the more you may </w:t>
      </w:r>
      <w:r w:rsidR="0016368C" w:rsidRPr="0094561D">
        <w:rPr>
          <w:rFonts w:asciiTheme="minorHAnsi" w:hAnsiTheme="minorHAnsi" w:cstheme="minorHAnsi"/>
          <w:b w:val="0"/>
          <w:bCs w:val="0"/>
          <w:sz w:val="21"/>
          <w:szCs w:val="21"/>
        </w:rPr>
        <w:t>decide</w:t>
      </w:r>
      <w:r w:rsidRPr="0094561D">
        <w:rPr>
          <w:rFonts w:asciiTheme="minorHAnsi" w:hAnsiTheme="minorHAnsi" w:cstheme="minorHAnsi"/>
          <w:b w:val="0"/>
          <w:bCs w:val="0"/>
          <w:sz w:val="21"/>
          <w:szCs w:val="21"/>
        </w:rPr>
        <w:t xml:space="preserve"> to </w:t>
      </w:r>
      <w:r w:rsidR="00C41E49" w:rsidRPr="0094561D">
        <w:rPr>
          <w:rFonts w:asciiTheme="minorHAnsi" w:hAnsiTheme="minorHAnsi" w:cstheme="minorHAnsi"/>
          <w:b w:val="0"/>
          <w:bCs w:val="0"/>
          <w:sz w:val="21"/>
          <w:szCs w:val="21"/>
        </w:rPr>
        <w:t xml:space="preserve">invest in higher-risk </w:t>
      </w:r>
      <w:r w:rsidRPr="0094561D">
        <w:rPr>
          <w:rFonts w:asciiTheme="minorHAnsi" w:hAnsiTheme="minorHAnsi" w:cstheme="minorHAnsi"/>
          <w:b w:val="0"/>
          <w:bCs w:val="0"/>
          <w:sz w:val="21"/>
          <w:szCs w:val="21"/>
        </w:rPr>
        <w:t>investments</w:t>
      </w:r>
      <w:r w:rsidR="00C41E49" w:rsidRPr="0094561D">
        <w:rPr>
          <w:rFonts w:asciiTheme="minorHAnsi" w:hAnsiTheme="minorHAnsi" w:cstheme="minorHAnsi"/>
          <w:b w:val="0"/>
          <w:bCs w:val="0"/>
          <w:sz w:val="21"/>
          <w:szCs w:val="21"/>
        </w:rPr>
        <w:t xml:space="preserve"> offering the potential for greater returns. </w:t>
      </w:r>
      <w:r w:rsidR="002F2A3E" w:rsidRPr="0094561D">
        <w:rPr>
          <w:rFonts w:asciiTheme="minorHAnsi" w:hAnsiTheme="minorHAnsi" w:cstheme="minorHAnsi"/>
          <w:b w:val="0"/>
          <w:bCs w:val="0"/>
          <w:sz w:val="21"/>
          <w:szCs w:val="21"/>
        </w:rPr>
        <w:t>We align</w:t>
      </w:r>
      <w:r w:rsidR="0016368C" w:rsidRPr="0094561D">
        <w:rPr>
          <w:rFonts w:asciiTheme="minorHAnsi" w:hAnsiTheme="minorHAnsi" w:cstheme="minorHAnsi"/>
          <w:b w:val="0"/>
          <w:bCs w:val="0"/>
          <w:sz w:val="21"/>
          <w:szCs w:val="21"/>
        </w:rPr>
        <w:t xml:space="preserve"> risk tolerances with investment needs</w:t>
      </w:r>
      <w:r w:rsidR="002F2A3E" w:rsidRPr="0094561D">
        <w:rPr>
          <w:rFonts w:asciiTheme="minorHAnsi" w:hAnsiTheme="minorHAnsi" w:cstheme="minorHAnsi"/>
          <w:b w:val="0"/>
          <w:bCs w:val="0"/>
          <w:sz w:val="21"/>
          <w:szCs w:val="21"/>
        </w:rPr>
        <w:t xml:space="preserve"> to </w:t>
      </w:r>
      <w:r w:rsidR="0016368C" w:rsidRPr="0094561D">
        <w:rPr>
          <w:rFonts w:asciiTheme="minorHAnsi" w:hAnsiTheme="minorHAnsi" w:cstheme="minorHAnsi"/>
          <w:b w:val="0"/>
          <w:bCs w:val="0"/>
          <w:sz w:val="21"/>
          <w:szCs w:val="21"/>
        </w:rPr>
        <w:t xml:space="preserve">offer </w:t>
      </w:r>
      <w:r w:rsidR="00823336" w:rsidRPr="0094561D">
        <w:rPr>
          <w:rFonts w:asciiTheme="minorHAnsi" w:hAnsiTheme="minorHAnsi" w:cstheme="minorHAnsi"/>
          <w:b w:val="0"/>
          <w:bCs w:val="0"/>
          <w:sz w:val="21"/>
          <w:szCs w:val="21"/>
        </w:rPr>
        <w:t>you</w:t>
      </w:r>
      <w:r w:rsidR="0016368C" w:rsidRPr="0094561D">
        <w:rPr>
          <w:rFonts w:asciiTheme="minorHAnsi" w:hAnsiTheme="minorHAnsi" w:cstheme="minorHAnsi"/>
          <w:b w:val="0"/>
          <w:bCs w:val="0"/>
          <w:sz w:val="21"/>
          <w:szCs w:val="21"/>
        </w:rPr>
        <w:t xml:space="preserve"> different investment objectives from which to choose </w:t>
      </w:r>
      <w:r w:rsidR="002F2A3E" w:rsidRPr="0094561D">
        <w:rPr>
          <w:rFonts w:asciiTheme="minorHAnsi" w:hAnsiTheme="minorHAnsi" w:cstheme="minorHAnsi"/>
          <w:b w:val="0"/>
          <w:bCs w:val="0"/>
          <w:sz w:val="21"/>
          <w:szCs w:val="21"/>
        </w:rPr>
        <w:t>(see below)</w:t>
      </w:r>
      <w:r w:rsidR="0016368C" w:rsidRPr="0094561D">
        <w:rPr>
          <w:rFonts w:asciiTheme="minorHAnsi" w:hAnsiTheme="minorHAnsi" w:cstheme="minorHAnsi"/>
          <w:b w:val="0"/>
          <w:bCs w:val="0"/>
          <w:sz w:val="21"/>
          <w:szCs w:val="21"/>
        </w:rPr>
        <w:t xml:space="preserve">. </w:t>
      </w:r>
      <w:r w:rsidR="00DA72DC" w:rsidRPr="0094561D">
        <w:rPr>
          <w:rFonts w:asciiTheme="minorHAnsi" w:hAnsiTheme="minorHAnsi" w:cstheme="minorHAnsi"/>
          <w:b w:val="0"/>
          <w:bCs w:val="0"/>
          <w:sz w:val="21"/>
          <w:szCs w:val="21"/>
        </w:rPr>
        <w:t>You should select</w:t>
      </w:r>
      <w:r w:rsidR="00823336" w:rsidRPr="0094561D">
        <w:rPr>
          <w:rFonts w:asciiTheme="minorHAnsi" w:hAnsiTheme="minorHAnsi" w:cstheme="minorHAnsi"/>
          <w:b w:val="0"/>
          <w:bCs w:val="0"/>
          <w:sz w:val="21"/>
          <w:szCs w:val="21"/>
        </w:rPr>
        <w:t xml:space="preserve"> the </w:t>
      </w:r>
      <w:r w:rsidR="0016368C" w:rsidRPr="0094561D">
        <w:rPr>
          <w:rFonts w:asciiTheme="minorHAnsi" w:hAnsiTheme="minorHAnsi" w:cstheme="minorHAnsi"/>
          <w:b w:val="0"/>
          <w:bCs w:val="0"/>
          <w:sz w:val="21"/>
          <w:szCs w:val="21"/>
        </w:rPr>
        <w:t>investment objective and risk tolerance best aligned with your brokerage account goal</w:t>
      </w:r>
      <w:r w:rsidR="00823336" w:rsidRPr="0094561D">
        <w:rPr>
          <w:rFonts w:asciiTheme="minorHAnsi" w:hAnsiTheme="minorHAnsi" w:cstheme="minorHAnsi"/>
          <w:b w:val="0"/>
          <w:bCs w:val="0"/>
          <w:sz w:val="21"/>
          <w:szCs w:val="21"/>
        </w:rPr>
        <w:t>s and needs.</w:t>
      </w:r>
      <w:bookmarkEnd w:id="4"/>
      <w:r w:rsidR="00823336" w:rsidRPr="0094561D">
        <w:rPr>
          <w:rFonts w:asciiTheme="minorHAnsi" w:hAnsiTheme="minorHAnsi" w:cstheme="minorHAnsi"/>
          <w:b w:val="0"/>
          <w:bCs w:val="0"/>
          <w:sz w:val="21"/>
          <w:szCs w:val="21"/>
        </w:rPr>
        <w:t xml:space="preserve"> </w:t>
      </w:r>
    </w:p>
    <w:p w14:paraId="1DD7C625" w14:textId="79D94A23" w:rsidR="00B31515" w:rsidRPr="0094561D" w:rsidRDefault="00B31515" w:rsidP="00766B05">
      <w:pPr>
        <w:pStyle w:val="Heading2"/>
        <w:jc w:val="both"/>
        <w:rPr>
          <w:rFonts w:asciiTheme="minorHAnsi" w:hAnsiTheme="minorHAnsi" w:cstheme="minorHAnsi"/>
          <w:b w:val="0"/>
          <w:bCs w:val="0"/>
          <w:sz w:val="21"/>
          <w:szCs w:val="21"/>
        </w:rPr>
      </w:pPr>
    </w:p>
    <w:p w14:paraId="1FFE129C" w14:textId="43C86315" w:rsidR="00B31515" w:rsidRPr="0094561D" w:rsidRDefault="00B31515" w:rsidP="00412143">
      <w:pPr>
        <w:pStyle w:val="Heading2"/>
        <w:ind w:left="144"/>
        <w:jc w:val="both"/>
        <w:rPr>
          <w:rFonts w:asciiTheme="minorHAnsi" w:hAnsiTheme="minorHAnsi" w:cstheme="minorHAnsi"/>
          <w:b w:val="0"/>
          <w:bCs w:val="0"/>
          <w:sz w:val="21"/>
          <w:szCs w:val="21"/>
        </w:rPr>
      </w:pPr>
      <w:r w:rsidRPr="0094561D">
        <w:rPr>
          <w:rFonts w:asciiTheme="minorHAnsi" w:hAnsiTheme="minorHAnsi" w:cstheme="minorHAnsi"/>
          <w:b w:val="0"/>
          <w:bCs w:val="0"/>
          <w:sz w:val="21"/>
          <w:szCs w:val="21"/>
        </w:rPr>
        <w:t xml:space="preserve">Investing in securities involves certain investment risks. Securities may fluctuate in value or lose value. You should be prepared to bear the potential risk of loss. </w:t>
      </w:r>
      <w:r w:rsidR="00811BAB">
        <w:rPr>
          <w:rFonts w:asciiTheme="minorHAnsi" w:hAnsiTheme="minorHAnsi" w:cstheme="minorHAnsi"/>
          <w:b w:val="0"/>
          <w:bCs w:val="0"/>
          <w:sz w:val="21"/>
          <w:szCs w:val="21"/>
        </w:rPr>
        <w:t>Tigress</w:t>
      </w:r>
      <w:r w:rsidRPr="0094561D">
        <w:rPr>
          <w:rFonts w:asciiTheme="minorHAnsi" w:hAnsiTheme="minorHAnsi" w:cstheme="minorHAnsi"/>
          <w:b w:val="0"/>
          <w:bCs w:val="0"/>
          <w:sz w:val="21"/>
          <w:szCs w:val="21"/>
        </w:rPr>
        <w:t xml:space="preserve"> will assist you in determining an appropriate strategy based on your tolerance for risk and other factors noted above. However, there is no guarantee that you will meet your investment goals. While the methods of analysis help your Financial Professional in evaluating a potential investment, it does not guarantee that the investment will increase in value. Assets meeting the investment criteria utilized in these methods of analysis may lose value and may have negative investment performance.</w:t>
      </w:r>
    </w:p>
    <w:p w14:paraId="075EFBD7" w14:textId="77777777" w:rsidR="00823336" w:rsidRPr="0094561D" w:rsidRDefault="00823336" w:rsidP="00412143">
      <w:pPr>
        <w:pStyle w:val="Heading2"/>
        <w:ind w:left="144"/>
        <w:rPr>
          <w:rFonts w:asciiTheme="minorHAnsi" w:hAnsiTheme="minorHAnsi" w:cstheme="minorHAnsi"/>
          <w:b w:val="0"/>
          <w:bCs w:val="0"/>
          <w:sz w:val="21"/>
          <w:szCs w:val="21"/>
        </w:rPr>
      </w:pPr>
    </w:p>
    <w:p w14:paraId="45F22E5B" w14:textId="77777777" w:rsidR="0076072D" w:rsidRPr="0094561D" w:rsidRDefault="00823336" w:rsidP="00412143">
      <w:pPr>
        <w:pStyle w:val="Heading2"/>
        <w:ind w:left="144"/>
        <w:jc w:val="both"/>
        <w:rPr>
          <w:rFonts w:asciiTheme="minorHAnsi" w:hAnsiTheme="minorHAnsi" w:cstheme="minorHAnsi"/>
          <w:b w:val="0"/>
          <w:bCs w:val="0"/>
          <w:sz w:val="21"/>
          <w:szCs w:val="21"/>
        </w:rPr>
      </w:pPr>
      <w:bookmarkStart w:id="5" w:name="_Toc38290468"/>
      <w:r w:rsidRPr="0094561D">
        <w:rPr>
          <w:rFonts w:asciiTheme="minorHAnsi" w:hAnsiTheme="minorHAnsi" w:cstheme="minorHAnsi"/>
          <w:b w:val="0"/>
          <w:bCs w:val="0"/>
          <w:sz w:val="21"/>
          <w:szCs w:val="21"/>
        </w:rPr>
        <w:t>I</w:t>
      </w:r>
      <w:r w:rsidR="0016368C" w:rsidRPr="0094561D">
        <w:rPr>
          <w:rFonts w:asciiTheme="minorHAnsi" w:hAnsiTheme="minorHAnsi" w:cstheme="minorHAnsi"/>
          <w:b w:val="0"/>
          <w:bCs w:val="0"/>
          <w:sz w:val="21"/>
          <w:szCs w:val="21"/>
        </w:rPr>
        <w:t>nvestment goals</w:t>
      </w:r>
      <w:r w:rsidR="00CC739F" w:rsidRPr="0094561D">
        <w:rPr>
          <w:rFonts w:asciiTheme="minorHAnsi" w:hAnsiTheme="minorHAnsi" w:cstheme="minorHAnsi"/>
          <w:b w:val="0"/>
          <w:bCs w:val="0"/>
          <w:sz w:val="21"/>
          <w:szCs w:val="21"/>
        </w:rPr>
        <w:t xml:space="preserve"> typically have different time horizons and different income and growth </w:t>
      </w:r>
      <w:r w:rsidR="00DA72DC" w:rsidRPr="0094561D">
        <w:rPr>
          <w:rFonts w:asciiTheme="minorHAnsi" w:hAnsiTheme="minorHAnsi" w:cstheme="minorHAnsi"/>
          <w:b w:val="0"/>
          <w:bCs w:val="0"/>
          <w:sz w:val="21"/>
          <w:szCs w:val="21"/>
        </w:rPr>
        <w:t>objectives</w:t>
      </w:r>
      <w:r w:rsidR="00CC739F" w:rsidRPr="0094561D">
        <w:rPr>
          <w:rFonts w:asciiTheme="minorHAnsi" w:hAnsiTheme="minorHAnsi" w:cstheme="minorHAnsi"/>
          <w:b w:val="0"/>
          <w:bCs w:val="0"/>
          <w:sz w:val="21"/>
          <w:szCs w:val="21"/>
        </w:rPr>
        <w:t>.</w:t>
      </w:r>
      <w:r w:rsidRPr="0094561D">
        <w:rPr>
          <w:rFonts w:asciiTheme="minorHAnsi" w:hAnsiTheme="minorHAnsi" w:cstheme="minorHAnsi"/>
          <w:b w:val="0"/>
          <w:bCs w:val="0"/>
          <w:sz w:val="21"/>
          <w:szCs w:val="21"/>
        </w:rPr>
        <w:t xml:space="preserve"> </w:t>
      </w:r>
      <w:r w:rsidR="00CC739F" w:rsidRPr="0094561D">
        <w:rPr>
          <w:rFonts w:asciiTheme="minorHAnsi" w:hAnsiTheme="minorHAnsi" w:cstheme="minorHAnsi"/>
          <w:b w:val="0"/>
          <w:bCs w:val="0"/>
          <w:sz w:val="21"/>
          <w:szCs w:val="21"/>
        </w:rPr>
        <w:t>Generally, investment goals are on a spectrum, with “Income” investors typically holding the smallest percentage of higher</w:t>
      </w:r>
      <w:r w:rsidR="00DA72DC" w:rsidRPr="0094561D">
        <w:rPr>
          <w:rFonts w:asciiTheme="minorHAnsi" w:hAnsiTheme="minorHAnsi" w:cstheme="minorHAnsi"/>
          <w:b w:val="0"/>
          <w:bCs w:val="0"/>
          <w:sz w:val="21"/>
          <w:szCs w:val="21"/>
        </w:rPr>
        <w:t>-</w:t>
      </w:r>
      <w:r w:rsidR="00CC739F" w:rsidRPr="0094561D">
        <w:rPr>
          <w:rFonts w:asciiTheme="minorHAnsi" w:hAnsiTheme="minorHAnsi" w:cstheme="minorHAnsi"/>
          <w:b w:val="0"/>
          <w:bCs w:val="0"/>
          <w:sz w:val="21"/>
          <w:szCs w:val="21"/>
        </w:rPr>
        <w:t xml:space="preserve">risk investments, followed by “Growth and Income” investors holding </w:t>
      </w:r>
      <w:r w:rsidR="00CC739F" w:rsidRPr="0094561D">
        <w:rPr>
          <w:rFonts w:asciiTheme="minorHAnsi" w:hAnsiTheme="minorHAnsi" w:cstheme="minorHAnsi"/>
          <w:b w:val="0"/>
          <w:bCs w:val="0"/>
          <w:i/>
          <w:sz w:val="21"/>
          <w:szCs w:val="21"/>
        </w:rPr>
        <w:t>some</w:t>
      </w:r>
      <w:r w:rsidR="00CC739F" w:rsidRPr="0094561D">
        <w:rPr>
          <w:rFonts w:asciiTheme="minorHAnsi" w:hAnsiTheme="minorHAnsi" w:cstheme="minorHAnsi"/>
          <w:b w:val="0"/>
          <w:bCs w:val="0"/>
          <w:sz w:val="21"/>
          <w:szCs w:val="21"/>
        </w:rPr>
        <w:t xml:space="preserve"> higher</w:t>
      </w:r>
      <w:r w:rsidR="00DA72DC" w:rsidRPr="0094561D">
        <w:rPr>
          <w:rFonts w:asciiTheme="minorHAnsi" w:hAnsiTheme="minorHAnsi" w:cstheme="minorHAnsi"/>
          <w:b w:val="0"/>
          <w:bCs w:val="0"/>
          <w:sz w:val="21"/>
          <w:szCs w:val="21"/>
        </w:rPr>
        <w:t>-</w:t>
      </w:r>
      <w:r w:rsidR="00CC739F" w:rsidRPr="0094561D">
        <w:rPr>
          <w:rFonts w:asciiTheme="minorHAnsi" w:hAnsiTheme="minorHAnsi" w:cstheme="minorHAnsi"/>
          <w:b w:val="0"/>
          <w:bCs w:val="0"/>
          <w:sz w:val="21"/>
          <w:szCs w:val="21"/>
        </w:rPr>
        <w:t>risk investments, and finally “Growth” investors holding a significant portion of their portfolio in higher</w:t>
      </w:r>
      <w:r w:rsidR="00DA72DC" w:rsidRPr="0094561D">
        <w:rPr>
          <w:rFonts w:asciiTheme="minorHAnsi" w:hAnsiTheme="minorHAnsi" w:cstheme="minorHAnsi"/>
          <w:b w:val="0"/>
          <w:bCs w:val="0"/>
          <w:sz w:val="21"/>
          <w:szCs w:val="21"/>
        </w:rPr>
        <w:t>-</w:t>
      </w:r>
      <w:r w:rsidR="00CC739F" w:rsidRPr="0094561D">
        <w:rPr>
          <w:rFonts w:asciiTheme="minorHAnsi" w:hAnsiTheme="minorHAnsi" w:cstheme="minorHAnsi"/>
          <w:b w:val="0"/>
          <w:bCs w:val="0"/>
          <w:sz w:val="21"/>
          <w:szCs w:val="21"/>
        </w:rPr>
        <w:t xml:space="preserve">risk investments. </w:t>
      </w:r>
    </w:p>
    <w:p w14:paraId="6C04AB35" w14:textId="77777777" w:rsidR="0076072D" w:rsidRPr="0094561D" w:rsidRDefault="0076072D" w:rsidP="00412143">
      <w:pPr>
        <w:pStyle w:val="Heading2"/>
        <w:ind w:left="144"/>
        <w:jc w:val="both"/>
        <w:rPr>
          <w:rFonts w:asciiTheme="minorHAnsi" w:hAnsiTheme="minorHAnsi" w:cstheme="minorHAnsi"/>
          <w:b w:val="0"/>
          <w:bCs w:val="0"/>
          <w:sz w:val="21"/>
          <w:szCs w:val="21"/>
        </w:rPr>
      </w:pPr>
    </w:p>
    <w:p w14:paraId="3CC7158B" w14:textId="76E9378A" w:rsidR="00F14793" w:rsidRPr="0094561D" w:rsidRDefault="00F14793" w:rsidP="00412143">
      <w:pPr>
        <w:pStyle w:val="Heading2"/>
        <w:ind w:left="144"/>
        <w:jc w:val="both"/>
        <w:rPr>
          <w:rFonts w:asciiTheme="minorHAnsi" w:hAnsiTheme="minorHAnsi" w:cstheme="minorHAnsi"/>
          <w:b w:val="0"/>
          <w:bCs w:val="0"/>
          <w:sz w:val="21"/>
          <w:szCs w:val="21"/>
        </w:rPr>
      </w:pPr>
      <w:r w:rsidRPr="0094561D">
        <w:rPr>
          <w:rFonts w:asciiTheme="minorHAnsi" w:hAnsiTheme="minorHAnsi" w:cstheme="minorHAnsi"/>
          <w:b w:val="0"/>
          <w:bCs w:val="0"/>
          <w:sz w:val="21"/>
          <w:szCs w:val="21"/>
        </w:rPr>
        <w:t xml:space="preserve">Risk tolerance also </w:t>
      </w:r>
      <w:r w:rsidR="0076072D" w:rsidRPr="0094561D">
        <w:rPr>
          <w:rFonts w:asciiTheme="minorHAnsi" w:hAnsiTheme="minorHAnsi" w:cstheme="minorHAnsi"/>
          <w:b w:val="0"/>
          <w:bCs w:val="0"/>
          <w:sz w:val="21"/>
          <w:szCs w:val="21"/>
        </w:rPr>
        <w:t>varies,</w:t>
      </w:r>
      <w:r w:rsidRPr="0094561D">
        <w:rPr>
          <w:rFonts w:asciiTheme="minorHAnsi" w:hAnsiTheme="minorHAnsi" w:cstheme="minorHAnsi"/>
          <w:b w:val="0"/>
          <w:bCs w:val="0"/>
          <w:sz w:val="21"/>
          <w:szCs w:val="21"/>
        </w:rPr>
        <w:t xml:space="preserve"> and </w:t>
      </w:r>
      <w:r w:rsidR="00823336" w:rsidRPr="0094561D">
        <w:rPr>
          <w:rFonts w:asciiTheme="minorHAnsi" w:hAnsiTheme="minorHAnsi" w:cstheme="minorHAnsi"/>
          <w:b w:val="0"/>
          <w:bCs w:val="0"/>
          <w:sz w:val="21"/>
          <w:szCs w:val="21"/>
        </w:rPr>
        <w:t>we measure it</w:t>
      </w:r>
      <w:r w:rsidR="00CC739F" w:rsidRPr="0094561D">
        <w:rPr>
          <w:rFonts w:asciiTheme="minorHAnsi" w:hAnsiTheme="minorHAnsi" w:cstheme="minorHAnsi"/>
          <w:b w:val="0"/>
          <w:bCs w:val="0"/>
          <w:sz w:val="21"/>
          <w:szCs w:val="21"/>
        </w:rPr>
        <w:t xml:space="preserve"> on a continuum that increases from “Conservative” to “Moderate” to “Aggressive,” and finally “Trading and Speculation.” </w:t>
      </w:r>
      <w:r w:rsidR="00DA72DC" w:rsidRPr="0094561D">
        <w:rPr>
          <w:rFonts w:asciiTheme="minorHAnsi" w:hAnsiTheme="minorHAnsi" w:cstheme="minorHAnsi"/>
          <w:b w:val="0"/>
          <w:bCs w:val="0"/>
          <w:sz w:val="21"/>
          <w:szCs w:val="21"/>
        </w:rPr>
        <w:t>See the chart below for details.</w:t>
      </w:r>
      <w:bookmarkEnd w:id="5"/>
    </w:p>
    <w:p w14:paraId="3C92400D" w14:textId="77777777" w:rsidR="00F14793" w:rsidRPr="0094561D" w:rsidRDefault="00CC739F" w:rsidP="00CC739F">
      <w:pPr>
        <w:pStyle w:val="Heading2"/>
        <w:rPr>
          <w:rFonts w:asciiTheme="minorHAnsi" w:hAnsiTheme="minorHAnsi" w:cstheme="minorHAnsi"/>
          <w:b w:val="0"/>
          <w:bCs w:val="0"/>
          <w:sz w:val="21"/>
          <w:szCs w:val="21"/>
        </w:rPr>
      </w:pPr>
      <w:r w:rsidRPr="0094561D">
        <w:rPr>
          <w:rFonts w:asciiTheme="minorHAnsi" w:hAnsiTheme="minorHAnsi" w:cstheme="minorHAnsi"/>
          <w:b w:val="0"/>
          <w:bCs w:val="0"/>
          <w:sz w:val="21"/>
          <w:szCs w:val="21"/>
        </w:rPr>
        <w:t>  </w:t>
      </w:r>
    </w:p>
    <w:tbl>
      <w:tblPr>
        <w:tblStyle w:val="TableGrid"/>
        <w:tblW w:w="0" w:type="auto"/>
        <w:jc w:val="center"/>
        <w:tblLook w:val="04A0" w:firstRow="1" w:lastRow="0" w:firstColumn="1" w:lastColumn="0" w:noHBand="0" w:noVBand="1"/>
      </w:tblPr>
      <w:tblGrid>
        <w:gridCol w:w="1358"/>
        <w:gridCol w:w="2071"/>
        <w:gridCol w:w="1481"/>
        <w:gridCol w:w="4440"/>
      </w:tblGrid>
      <w:tr w:rsidR="00F14793" w:rsidRPr="0094561D" w14:paraId="74093EB4" w14:textId="77777777" w:rsidTr="00412143">
        <w:trPr>
          <w:trHeight w:val="497"/>
          <w:jc w:val="center"/>
        </w:trPr>
        <w:tc>
          <w:tcPr>
            <w:tcW w:w="1358" w:type="dxa"/>
          </w:tcPr>
          <w:p w14:paraId="51B0024C" w14:textId="77777777" w:rsidR="00F14793" w:rsidRPr="0094561D" w:rsidRDefault="00F14793" w:rsidP="00F14793">
            <w:pPr>
              <w:widowControl/>
              <w:adjustRightInd w:val="0"/>
              <w:spacing w:before="100" w:after="100"/>
              <w:rPr>
                <w:rFonts w:asciiTheme="minorHAnsi" w:eastAsiaTheme="minorHAnsi" w:hAnsiTheme="minorHAnsi" w:cstheme="minorHAnsi"/>
                <w:b/>
                <w:sz w:val="21"/>
                <w:szCs w:val="21"/>
              </w:rPr>
            </w:pPr>
            <w:r w:rsidRPr="0094561D">
              <w:rPr>
                <w:rFonts w:asciiTheme="minorHAnsi" w:eastAsiaTheme="minorHAnsi" w:hAnsiTheme="minorHAnsi" w:cstheme="minorHAnsi"/>
                <w:b/>
                <w:sz w:val="21"/>
                <w:szCs w:val="21"/>
              </w:rPr>
              <w:t>Investment Objective</w:t>
            </w:r>
          </w:p>
        </w:tc>
        <w:tc>
          <w:tcPr>
            <w:tcW w:w="2071" w:type="dxa"/>
          </w:tcPr>
          <w:p w14:paraId="6854F3B3" w14:textId="77777777" w:rsidR="00F14793" w:rsidRPr="0094561D" w:rsidRDefault="00F14793" w:rsidP="00F14793">
            <w:pPr>
              <w:widowControl/>
              <w:adjustRightInd w:val="0"/>
              <w:spacing w:before="100" w:after="100"/>
              <w:rPr>
                <w:rFonts w:asciiTheme="minorHAnsi" w:eastAsiaTheme="minorHAnsi" w:hAnsiTheme="minorHAnsi" w:cstheme="minorHAnsi"/>
                <w:b/>
                <w:sz w:val="21"/>
                <w:szCs w:val="21"/>
              </w:rPr>
            </w:pPr>
            <w:r w:rsidRPr="0094561D">
              <w:rPr>
                <w:rFonts w:asciiTheme="minorHAnsi" w:eastAsiaTheme="minorHAnsi" w:hAnsiTheme="minorHAnsi" w:cstheme="minorHAnsi"/>
                <w:b/>
                <w:sz w:val="21"/>
                <w:szCs w:val="21"/>
              </w:rPr>
              <w:t>Investment Objective Description</w:t>
            </w:r>
          </w:p>
        </w:tc>
        <w:tc>
          <w:tcPr>
            <w:tcW w:w="1481" w:type="dxa"/>
            <w:shd w:val="clear" w:color="auto" w:fill="F2F2F2" w:themeFill="background1" w:themeFillShade="F2"/>
          </w:tcPr>
          <w:p w14:paraId="1E160EEB" w14:textId="77777777" w:rsidR="00F14793" w:rsidRPr="0094561D" w:rsidRDefault="00F14793" w:rsidP="00F14793">
            <w:pPr>
              <w:widowControl/>
              <w:adjustRightInd w:val="0"/>
              <w:spacing w:before="100" w:after="100"/>
              <w:jc w:val="center"/>
              <w:rPr>
                <w:rFonts w:asciiTheme="minorHAnsi" w:eastAsiaTheme="minorHAnsi" w:hAnsiTheme="minorHAnsi" w:cstheme="minorHAnsi"/>
                <w:b/>
                <w:sz w:val="21"/>
                <w:szCs w:val="21"/>
              </w:rPr>
            </w:pPr>
            <w:r w:rsidRPr="0094561D">
              <w:rPr>
                <w:rFonts w:asciiTheme="minorHAnsi" w:eastAsiaTheme="minorHAnsi" w:hAnsiTheme="minorHAnsi" w:cstheme="minorHAnsi"/>
                <w:b/>
                <w:sz w:val="21"/>
                <w:szCs w:val="21"/>
              </w:rPr>
              <w:t>Risk Tolerance</w:t>
            </w:r>
          </w:p>
        </w:tc>
        <w:tc>
          <w:tcPr>
            <w:tcW w:w="4440" w:type="dxa"/>
            <w:shd w:val="clear" w:color="auto" w:fill="BFBFBF" w:themeFill="background1" w:themeFillShade="BF"/>
          </w:tcPr>
          <w:p w14:paraId="4F470EA2" w14:textId="77777777" w:rsidR="00F14793" w:rsidRPr="0094561D" w:rsidRDefault="00F14793" w:rsidP="00F14793">
            <w:pPr>
              <w:widowControl/>
              <w:adjustRightInd w:val="0"/>
              <w:spacing w:before="100" w:after="100"/>
              <w:rPr>
                <w:rFonts w:asciiTheme="minorHAnsi" w:eastAsiaTheme="minorHAnsi" w:hAnsiTheme="minorHAnsi" w:cstheme="minorHAnsi"/>
                <w:b/>
                <w:sz w:val="21"/>
                <w:szCs w:val="21"/>
              </w:rPr>
            </w:pPr>
            <w:r w:rsidRPr="0094561D">
              <w:rPr>
                <w:rFonts w:asciiTheme="minorHAnsi" w:eastAsiaTheme="minorHAnsi" w:hAnsiTheme="minorHAnsi" w:cstheme="minorHAnsi"/>
                <w:b/>
                <w:sz w:val="21"/>
                <w:szCs w:val="21"/>
              </w:rPr>
              <w:t>Risk Tolerance Definition</w:t>
            </w:r>
          </w:p>
        </w:tc>
      </w:tr>
      <w:tr w:rsidR="00F14793" w:rsidRPr="0094561D" w14:paraId="7165DA0F" w14:textId="77777777" w:rsidTr="00412143">
        <w:trPr>
          <w:trHeight w:val="641"/>
          <w:jc w:val="center"/>
        </w:trPr>
        <w:tc>
          <w:tcPr>
            <w:tcW w:w="1358" w:type="dxa"/>
            <w:vMerge w:val="restart"/>
            <w:vAlign w:val="center"/>
          </w:tcPr>
          <w:p w14:paraId="21B78823" w14:textId="77777777" w:rsidR="00F14793" w:rsidRPr="0094561D" w:rsidRDefault="00F14793" w:rsidP="00F14793">
            <w:pPr>
              <w:widowControl/>
              <w:adjustRightInd w:val="0"/>
              <w:spacing w:before="100" w:after="100"/>
              <w:rPr>
                <w:rFonts w:asciiTheme="minorHAnsi" w:eastAsiaTheme="minorHAnsi" w:hAnsiTheme="minorHAnsi" w:cstheme="minorHAnsi"/>
                <w:sz w:val="21"/>
                <w:szCs w:val="21"/>
              </w:rPr>
            </w:pPr>
            <w:r w:rsidRPr="0094561D">
              <w:rPr>
                <w:rFonts w:asciiTheme="minorHAnsi" w:eastAsiaTheme="minorHAnsi" w:hAnsiTheme="minorHAnsi" w:cstheme="minorHAnsi"/>
                <w:sz w:val="21"/>
                <w:szCs w:val="21"/>
              </w:rPr>
              <w:t>Income</w:t>
            </w:r>
          </w:p>
        </w:tc>
        <w:tc>
          <w:tcPr>
            <w:tcW w:w="2071" w:type="dxa"/>
            <w:vMerge w:val="restart"/>
            <w:vAlign w:val="center"/>
          </w:tcPr>
          <w:p w14:paraId="18EE6D3A" w14:textId="77777777" w:rsidR="00F14793" w:rsidRPr="0094561D" w:rsidRDefault="00F14793" w:rsidP="00F14793">
            <w:pPr>
              <w:widowControl/>
              <w:adjustRightInd w:val="0"/>
              <w:spacing w:before="100" w:after="100"/>
              <w:rPr>
                <w:rFonts w:asciiTheme="minorHAnsi" w:eastAsiaTheme="minorHAnsi" w:hAnsiTheme="minorHAnsi" w:cstheme="minorHAnsi"/>
                <w:sz w:val="21"/>
                <w:szCs w:val="21"/>
              </w:rPr>
            </w:pPr>
            <w:r w:rsidRPr="0094561D">
              <w:rPr>
                <w:rFonts w:asciiTheme="minorHAnsi" w:hAnsiTheme="minorHAnsi" w:cstheme="minorHAnsi"/>
                <w:sz w:val="21"/>
                <w:szCs w:val="21"/>
              </w:rPr>
              <w:t>Income portfolios emphasize current income with minimal consideration for capital appreciation and usually have less exposure to more volatile growth assets.</w:t>
            </w:r>
          </w:p>
        </w:tc>
        <w:tc>
          <w:tcPr>
            <w:tcW w:w="1481" w:type="dxa"/>
            <w:shd w:val="clear" w:color="auto" w:fill="F2F2F2" w:themeFill="background1" w:themeFillShade="F2"/>
            <w:vAlign w:val="center"/>
          </w:tcPr>
          <w:p w14:paraId="0DE0FAA1" w14:textId="442DD9FC" w:rsidR="00F14793" w:rsidRPr="0094561D" w:rsidRDefault="004F4AA6" w:rsidP="00F14793">
            <w:pPr>
              <w:widowControl/>
              <w:adjustRightInd w:val="0"/>
              <w:spacing w:before="100" w:after="100"/>
              <w:jc w:val="center"/>
              <w:rPr>
                <w:rFonts w:asciiTheme="minorHAnsi" w:eastAsiaTheme="minorHAnsi" w:hAnsiTheme="minorHAnsi" w:cstheme="minorHAnsi"/>
                <w:sz w:val="21"/>
                <w:szCs w:val="21"/>
              </w:rPr>
            </w:pPr>
            <w:r>
              <w:rPr>
                <w:rFonts w:asciiTheme="minorHAnsi" w:eastAsiaTheme="minorHAnsi" w:hAnsiTheme="minorHAnsi" w:cstheme="minorHAnsi"/>
                <w:sz w:val="21"/>
                <w:szCs w:val="21"/>
              </w:rPr>
              <w:t>Low</w:t>
            </w:r>
          </w:p>
        </w:tc>
        <w:tc>
          <w:tcPr>
            <w:tcW w:w="4440" w:type="dxa"/>
            <w:shd w:val="clear" w:color="auto" w:fill="BFBFBF" w:themeFill="background1" w:themeFillShade="BF"/>
            <w:vAlign w:val="center"/>
          </w:tcPr>
          <w:p w14:paraId="0AFB9A94" w14:textId="7016B39F" w:rsidR="00F14793" w:rsidRPr="0094561D" w:rsidRDefault="0099082D" w:rsidP="00766B05">
            <w:pPr>
              <w:widowControl/>
              <w:adjustRightInd w:val="0"/>
              <w:spacing w:before="100" w:after="100"/>
              <w:jc w:val="both"/>
              <w:rPr>
                <w:rFonts w:asciiTheme="minorHAnsi" w:hAnsiTheme="minorHAnsi" w:cstheme="minorHAnsi"/>
                <w:sz w:val="21"/>
                <w:szCs w:val="21"/>
              </w:rPr>
            </w:pPr>
            <w:r>
              <w:rPr>
                <w:rFonts w:asciiTheme="minorHAnsi" w:hAnsiTheme="minorHAnsi" w:cstheme="minorHAnsi"/>
                <w:sz w:val="21"/>
                <w:szCs w:val="21"/>
              </w:rPr>
              <w:t xml:space="preserve">Low </w:t>
            </w:r>
            <w:r w:rsidRPr="0094561D">
              <w:rPr>
                <w:rFonts w:asciiTheme="minorHAnsi" w:hAnsiTheme="minorHAnsi" w:cstheme="minorHAnsi"/>
                <w:sz w:val="21"/>
                <w:szCs w:val="21"/>
              </w:rPr>
              <w:t>investors generally assume a lower amount of risk but may still experience losses or have lower expected returns.</w:t>
            </w:r>
          </w:p>
        </w:tc>
      </w:tr>
      <w:tr w:rsidR="00F14793" w:rsidRPr="0094561D" w14:paraId="1FD28FFC" w14:textId="77777777" w:rsidTr="00412143">
        <w:trPr>
          <w:trHeight w:val="650"/>
          <w:jc w:val="center"/>
        </w:trPr>
        <w:tc>
          <w:tcPr>
            <w:tcW w:w="1358" w:type="dxa"/>
            <w:vMerge/>
          </w:tcPr>
          <w:p w14:paraId="6B6B576D" w14:textId="77777777" w:rsidR="00F14793" w:rsidRPr="0094561D" w:rsidRDefault="00F14793" w:rsidP="00F14793">
            <w:pPr>
              <w:widowControl/>
              <w:adjustRightInd w:val="0"/>
              <w:spacing w:before="100" w:after="100"/>
              <w:rPr>
                <w:rFonts w:asciiTheme="minorHAnsi" w:eastAsiaTheme="minorHAnsi" w:hAnsiTheme="minorHAnsi" w:cstheme="minorHAnsi"/>
                <w:sz w:val="21"/>
                <w:szCs w:val="21"/>
              </w:rPr>
            </w:pPr>
          </w:p>
        </w:tc>
        <w:tc>
          <w:tcPr>
            <w:tcW w:w="2071" w:type="dxa"/>
            <w:vMerge/>
          </w:tcPr>
          <w:p w14:paraId="1005D2AF" w14:textId="77777777" w:rsidR="00F14793" w:rsidRPr="0094561D" w:rsidRDefault="00F14793" w:rsidP="00F14793">
            <w:pPr>
              <w:widowControl/>
              <w:adjustRightInd w:val="0"/>
              <w:spacing w:before="100" w:after="100"/>
              <w:rPr>
                <w:rFonts w:asciiTheme="minorHAnsi" w:hAnsiTheme="minorHAnsi" w:cstheme="minorHAnsi"/>
                <w:sz w:val="21"/>
                <w:szCs w:val="21"/>
              </w:rPr>
            </w:pPr>
          </w:p>
        </w:tc>
        <w:tc>
          <w:tcPr>
            <w:tcW w:w="1481" w:type="dxa"/>
            <w:shd w:val="clear" w:color="auto" w:fill="F2F2F2" w:themeFill="background1" w:themeFillShade="F2"/>
            <w:vAlign w:val="center"/>
          </w:tcPr>
          <w:p w14:paraId="4A702E35" w14:textId="77777777" w:rsidR="00F14793" w:rsidRPr="0094561D" w:rsidRDefault="00F14793" w:rsidP="00F14793">
            <w:pPr>
              <w:widowControl/>
              <w:adjustRightInd w:val="0"/>
              <w:spacing w:before="100" w:after="100"/>
              <w:jc w:val="center"/>
              <w:rPr>
                <w:rFonts w:asciiTheme="minorHAnsi" w:eastAsiaTheme="minorHAnsi" w:hAnsiTheme="minorHAnsi" w:cstheme="minorHAnsi"/>
                <w:sz w:val="21"/>
                <w:szCs w:val="21"/>
              </w:rPr>
            </w:pPr>
            <w:r w:rsidRPr="0094561D">
              <w:rPr>
                <w:rFonts w:asciiTheme="minorHAnsi" w:eastAsiaTheme="minorHAnsi" w:hAnsiTheme="minorHAnsi" w:cstheme="minorHAnsi"/>
                <w:sz w:val="21"/>
                <w:szCs w:val="21"/>
              </w:rPr>
              <w:t>Moderate</w:t>
            </w:r>
          </w:p>
        </w:tc>
        <w:tc>
          <w:tcPr>
            <w:tcW w:w="4440" w:type="dxa"/>
            <w:shd w:val="clear" w:color="auto" w:fill="BFBFBF" w:themeFill="background1" w:themeFillShade="BF"/>
            <w:vAlign w:val="center"/>
          </w:tcPr>
          <w:p w14:paraId="4CA98EA8" w14:textId="276801D3" w:rsidR="00F14793" w:rsidRPr="0094561D" w:rsidRDefault="0099082D" w:rsidP="00766B05">
            <w:pPr>
              <w:widowControl/>
              <w:adjustRightInd w:val="0"/>
              <w:spacing w:before="100" w:after="100"/>
              <w:jc w:val="both"/>
              <w:rPr>
                <w:rFonts w:asciiTheme="minorHAnsi" w:hAnsiTheme="minorHAnsi" w:cstheme="minorHAnsi"/>
                <w:sz w:val="21"/>
                <w:szCs w:val="21"/>
              </w:rPr>
            </w:pPr>
            <w:r w:rsidRPr="0094561D">
              <w:rPr>
                <w:rFonts w:asciiTheme="minorHAnsi" w:hAnsiTheme="minorHAnsi" w:cstheme="minorHAnsi"/>
                <w:sz w:val="21"/>
                <w:szCs w:val="21"/>
              </w:rPr>
              <w:t>Moderate investors are willing to accept a modest level of risk that may result in increased losses in exchange for the potential to receive modest returns.</w:t>
            </w:r>
          </w:p>
        </w:tc>
      </w:tr>
      <w:tr w:rsidR="004F4AA6" w:rsidRPr="0094561D" w14:paraId="4A39274F" w14:textId="77777777" w:rsidTr="00412143">
        <w:trPr>
          <w:trHeight w:val="650"/>
          <w:jc w:val="center"/>
        </w:trPr>
        <w:tc>
          <w:tcPr>
            <w:tcW w:w="1358" w:type="dxa"/>
            <w:vMerge/>
          </w:tcPr>
          <w:p w14:paraId="76AAA546" w14:textId="77777777" w:rsidR="004F4AA6" w:rsidRPr="0094561D" w:rsidRDefault="004F4AA6" w:rsidP="00F14793">
            <w:pPr>
              <w:widowControl/>
              <w:adjustRightInd w:val="0"/>
              <w:spacing w:before="100" w:after="100"/>
              <w:rPr>
                <w:rFonts w:asciiTheme="minorHAnsi" w:eastAsiaTheme="minorHAnsi" w:hAnsiTheme="minorHAnsi" w:cstheme="minorHAnsi"/>
                <w:sz w:val="21"/>
                <w:szCs w:val="21"/>
              </w:rPr>
            </w:pPr>
          </w:p>
        </w:tc>
        <w:tc>
          <w:tcPr>
            <w:tcW w:w="2071" w:type="dxa"/>
            <w:vMerge/>
          </w:tcPr>
          <w:p w14:paraId="0B936844" w14:textId="77777777" w:rsidR="004F4AA6" w:rsidRPr="0094561D" w:rsidRDefault="004F4AA6" w:rsidP="00F14793">
            <w:pPr>
              <w:widowControl/>
              <w:adjustRightInd w:val="0"/>
              <w:spacing w:before="100" w:after="100"/>
              <w:rPr>
                <w:rFonts w:asciiTheme="minorHAnsi" w:hAnsiTheme="minorHAnsi" w:cstheme="minorHAnsi"/>
                <w:sz w:val="21"/>
                <w:szCs w:val="21"/>
              </w:rPr>
            </w:pPr>
          </w:p>
        </w:tc>
        <w:tc>
          <w:tcPr>
            <w:tcW w:w="1481" w:type="dxa"/>
            <w:shd w:val="clear" w:color="auto" w:fill="F2F2F2" w:themeFill="background1" w:themeFillShade="F2"/>
            <w:vAlign w:val="center"/>
          </w:tcPr>
          <w:p w14:paraId="3113B9AB" w14:textId="2A232CDA" w:rsidR="004F4AA6" w:rsidRPr="0094561D" w:rsidRDefault="004F4AA6" w:rsidP="00F14793">
            <w:pPr>
              <w:widowControl/>
              <w:adjustRightInd w:val="0"/>
              <w:spacing w:before="100" w:after="100"/>
              <w:jc w:val="center"/>
              <w:rPr>
                <w:rFonts w:asciiTheme="minorHAnsi" w:eastAsiaTheme="minorHAnsi" w:hAnsiTheme="minorHAnsi" w:cstheme="minorHAnsi"/>
                <w:sz w:val="21"/>
                <w:szCs w:val="21"/>
              </w:rPr>
            </w:pPr>
            <w:r>
              <w:rPr>
                <w:rFonts w:asciiTheme="minorHAnsi" w:eastAsiaTheme="minorHAnsi" w:hAnsiTheme="minorHAnsi" w:cstheme="minorHAnsi"/>
                <w:sz w:val="21"/>
                <w:szCs w:val="21"/>
              </w:rPr>
              <w:t>Speculation</w:t>
            </w:r>
          </w:p>
        </w:tc>
        <w:tc>
          <w:tcPr>
            <w:tcW w:w="4440" w:type="dxa"/>
            <w:shd w:val="clear" w:color="auto" w:fill="BFBFBF" w:themeFill="background1" w:themeFillShade="BF"/>
            <w:vAlign w:val="center"/>
          </w:tcPr>
          <w:p w14:paraId="5CC69B1A" w14:textId="7B3F0067" w:rsidR="004F4AA6" w:rsidRPr="0094561D" w:rsidRDefault="0099082D" w:rsidP="00766B05">
            <w:pPr>
              <w:widowControl/>
              <w:adjustRightInd w:val="0"/>
              <w:spacing w:before="100" w:after="100"/>
              <w:jc w:val="both"/>
              <w:rPr>
                <w:rFonts w:asciiTheme="minorHAnsi" w:hAnsiTheme="minorHAnsi" w:cstheme="minorHAnsi"/>
                <w:sz w:val="21"/>
                <w:szCs w:val="21"/>
              </w:rPr>
            </w:pPr>
            <w:r>
              <w:rPr>
                <w:rFonts w:asciiTheme="minorHAnsi" w:hAnsiTheme="minorHAnsi" w:cstheme="minorHAnsi"/>
                <w:sz w:val="21"/>
                <w:szCs w:val="21"/>
              </w:rPr>
              <w:t>Speculation</w:t>
            </w:r>
            <w:r w:rsidRPr="0094561D">
              <w:rPr>
                <w:rFonts w:asciiTheme="minorHAnsi" w:hAnsiTheme="minorHAnsi" w:cstheme="minorHAnsi"/>
                <w:sz w:val="21"/>
                <w:szCs w:val="21"/>
              </w:rPr>
              <w:t xml:space="preserve"> investors seek a higher level of returns and are willing to accept a higher level of risk that may result in greater losses.</w:t>
            </w:r>
          </w:p>
        </w:tc>
      </w:tr>
      <w:tr w:rsidR="00F14793" w:rsidRPr="0094561D" w14:paraId="06AE6971" w14:textId="77777777" w:rsidTr="00412143">
        <w:trPr>
          <w:trHeight w:val="677"/>
          <w:jc w:val="center"/>
        </w:trPr>
        <w:tc>
          <w:tcPr>
            <w:tcW w:w="1358" w:type="dxa"/>
            <w:vMerge/>
            <w:tcBorders>
              <w:bottom w:val="thinThickSmallGap" w:sz="24" w:space="0" w:color="auto"/>
            </w:tcBorders>
          </w:tcPr>
          <w:p w14:paraId="6BEA7EED" w14:textId="77777777" w:rsidR="00F14793" w:rsidRPr="0094561D" w:rsidRDefault="00F14793" w:rsidP="00F14793">
            <w:pPr>
              <w:widowControl/>
              <w:adjustRightInd w:val="0"/>
              <w:spacing w:before="100" w:after="100"/>
              <w:rPr>
                <w:rFonts w:asciiTheme="minorHAnsi" w:eastAsiaTheme="minorHAnsi" w:hAnsiTheme="minorHAnsi" w:cstheme="minorHAnsi"/>
                <w:sz w:val="21"/>
                <w:szCs w:val="21"/>
              </w:rPr>
            </w:pPr>
          </w:p>
        </w:tc>
        <w:tc>
          <w:tcPr>
            <w:tcW w:w="2071" w:type="dxa"/>
            <w:vMerge/>
            <w:tcBorders>
              <w:bottom w:val="thinThickSmallGap" w:sz="24" w:space="0" w:color="auto"/>
            </w:tcBorders>
          </w:tcPr>
          <w:p w14:paraId="1E1435C6" w14:textId="77777777" w:rsidR="00F14793" w:rsidRPr="0094561D" w:rsidRDefault="00F14793" w:rsidP="00F14793">
            <w:pPr>
              <w:widowControl/>
              <w:adjustRightInd w:val="0"/>
              <w:spacing w:before="100" w:after="100"/>
              <w:rPr>
                <w:rFonts w:asciiTheme="minorHAnsi" w:eastAsiaTheme="minorHAnsi" w:hAnsiTheme="minorHAnsi" w:cstheme="minorHAnsi"/>
                <w:sz w:val="21"/>
                <w:szCs w:val="21"/>
              </w:rPr>
            </w:pPr>
          </w:p>
        </w:tc>
        <w:tc>
          <w:tcPr>
            <w:tcW w:w="1481" w:type="dxa"/>
            <w:tcBorders>
              <w:bottom w:val="thinThickSmallGap" w:sz="24" w:space="0" w:color="auto"/>
            </w:tcBorders>
            <w:shd w:val="clear" w:color="auto" w:fill="F2F2F2" w:themeFill="background1" w:themeFillShade="F2"/>
            <w:vAlign w:val="center"/>
          </w:tcPr>
          <w:p w14:paraId="085FA129" w14:textId="63905CFE" w:rsidR="00F14793" w:rsidRPr="0094561D" w:rsidRDefault="004F4AA6" w:rsidP="00F14793">
            <w:pPr>
              <w:widowControl/>
              <w:adjustRightInd w:val="0"/>
              <w:spacing w:before="100" w:after="100"/>
              <w:jc w:val="center"/>
              <w:rPr>
                <w:rFonts w:asciiTheme="minorHAnsi" w:eastAsiaTheme="minorHAnsi" w:hAnsiTheme="minorHAnsi" w:cstheme="minorHAnsi"/>
                <w:sz w:val="21"/>
                <w:szCs w:val="21"/>
              </w:rPr>
            </w:pPr>
            <w:r>
              <w:rPr>
                <w:rFonts w:asciiTheme="minorHAnsi" w:eastAsiaTheme="minorHAnsi" w:hAnsiTheme="minorHAnsi" w:cstheme="minorHAnsi"/>
                <w:sz w:val="21"/>
                <w:szCs w:val="21"/>
              </w:rPr>
              <w:t>High Risk</w:t>
            </w:r>
          </w:p>
        </w:tc>
        <w:tc>
          <w:tcPr>
            <w:tcW w:w="4440" w:type="dxa"/>
            <w:tcBorders>
              <w:bottom w:val="thinThickSmallGap" w:sz="24" w:space="0" w:color="auto"/>
            </w:tcBorders>
            <w:shd w:val="clear" w:color="auto" w:fill="BFBFBF" w:themeFill="background1" w:themeFillShade="BF"/>
            <w:vAlign w:val="center"/>
          </w:tcPr>
          <w:p w14:paraId="57B64629" w14:textId="6195ABB6" w:rsidR="00F14793" w:rsidRPr="0094561D" w:rsidRDefault="0099082D" w:rsidP="00766B05">
            <w:pPr>
              <w:widowControl/>
              <w:adjustRightInd w:val="0"/>
              <w:spacing w:before="100" w:after="100"/>
              <w:jc w:val="both"/>
              <w:rPr>
                <w:rFonts w:asciiTheme="minorHAnsi" w:hAnsiTheme="minorHAnsi" w:cstheme="minorHAnsi"/>
                <w:sz w:val="21"/>
                <w:szCs w:val="21"/>
              </w:rPr>
            </w:pPr>
            <w:r>
              <w:rPr>
                <w:rFonts w:asciiTheme="minorHAnsi" w:hAnsiTheme="minorHAnsi" w:cstheme="minorHAnsi"/>
                <w:sz w:val="21"/>
                <w:szCs w:val="21"/>
              </w:rPr>
              <w:t xml:space="preserve">High Risk </w:t>
            </w:r>
            <w:r w:rsidRPr="0094561D">
              <w:rPr>
                <w:rFonts w:asciiTheme="minorHAnsi" w:hAnsiTheme="minorHAnsi" w:cstheme="minorHAnsi"/>
                <w:sz w:val="21"/>
                <w:szCs w:val="21"/>
              </w:rPr>
              <w:t>investors seek a higher level of returns and are willing to accept a higher level of risk that may result in</w:t>
            </w:r>
            <w:r>
              <w:rPr>
                <w:rFonts w:asciiTheme="minorHAnsi" w:hAnsiTheme="minorHAnsi" w:cstheme="minorHAnsi"/>
                <w:sz w:val="21"/>
                <w:szCs w:val="21"/>
              </w:rPr>
              <w:t xml:space="preserve"> some or all investment being lost</w:t>
            </w:r>
            <w:r w:rsidRPr="0094561D">
              <w:rPr>
                <w:rFonts w:asciiTheme="minorHAnsi" w:hAnsiTheme="minorHAnsi" w:cstheme="minorHAnsi"/>
                <w:sz w:val="21"/>
                <w:szCs w:val="21"/>
              </w:rPr>
              <w:t>.</w:t>
            </w:r>
          </w:p>
        </w:tc>
      </w:tr>
      <w:tr w:rsidR="0016368C" w:rsidRPr="0094561D" w14:paraId="452B990F" w14:textId="77777777" w:rsidTr="00412143">
        <w:trPr>
          <w:jc w:val="center"/>
        </w:trPr>
        <w:tc>
          <w:tcPr>
            <w:tcW w:w="1358" w:type="dxa"/>
            <w:vMerge w:val="restart"/>
            <w:tcBorders>
              <w:top w:val="thinThickSmallGap" w:sz="24" w:space="0" w:color="auto"/>
            </w:tcBorders>
            <w:vAlign w:val="center"/>
          </w:tcPr>
          <w:p w14:paraId="6C0FBFA8" w14:textId="2E2FD857" w:rsidR="0016368C" w:rsidRPr="0094561D" w:rsidRDefault="004F4AA6" w:rsidP="004F4AA6">
            <w:pPr>
              <w:widowControl/>
              <w:adjustRightInd w:val="0"/>
              <w:spacing w:before="100" w:after="100"/>
              <w:rPr>
                <w:rFonts w:asciiTheme="minorHAnsi" w:eastAsiaTheme="minorHAnsi" w:hAnsiTheme="minorHAnsi" w:cstheme="minorHAnsi"/>
                <w:sz w:val="21"/>
                <w:szCs w:val="21"/>
              </w:rPr>
            </w:pPr>
            <w:r>
              <w:rPr>
                <w:rFonts w:asciiTheme="minorHAnsi" w:eastAsiaTheme="minorHAnsi" w:hAnsiTheme="minorHAnsi" w:cstheme="minorHAnsi"/>
                <w:sz w:val="21"/>
                <w:szCs w:val="21"/>
              </w:rPr>
              <w:lastRenderedPageBreak/>
              <w:t xml:space="preserve">Short Term </w:t>
            </w:r>
            <w:r w:rsidR="0016368C" w:rsidRPr="0094561D">
              <w:rPr>
                <w:rFonts w:asciiTheme="minorHAnsi" w:eastAsiaTheme="minorHAnsi" w:hAnsiTheme="minorHAnsi" w:cstheme="minorHAnsi"/>
                <w:sz w:val="21"/>
                <w:szCs w:val="21"/>
              </w:rPr>
              <w:t xml:space="preserve">Growth </w:t>
            </w:r>
          </w:p>
        </w:tc>
        <w:tc>
          <w:tcPr>
            <w:tcW w:w="2071" w:type="dxa"/>
            <w:vMerge w:val="restart"/>
            <w:tcBorders>
              <w:top w:val="thinThickSmallGap" w:sz="24" w:space="0" w:color="auto"/>
            </w:tcBorders>
            <w:vAlign w:val="center"/>
          </w:tcPr>
          <w:p w14:paraId="3338854C" w14:textId="623B9026" w:rsidR="0016368C" w:rsidRPr="0094561D" w:rsidRDefault="004F4AA6" w:rsidP="004F4AA6">
            <w:pPr>
              <w:widowControl/>
              <w:adjustRightInd w:val="0"/>
              <w:spacing w:before="100" w:after="100"/>
              <w:rPr>
                <w:rFonts w:asciiTheme="minorHAnsi" w:hAnsiTheme="minorHAnsi" w:cstheme="minorHAnsi"/>
                <w:sz w:val="21"/>
                <w:szCs w:val="21"/>
              </w:rPr>
            </w:pPr>
            <w:r>
              <w:rPr>
                <w:rFonts w:asciiTheme="minorHAnsi" w:hAnsiTheme="minorHAnsi" w:cstheme="minorHAnsi"/>
                <w:sz w:val="21"/>
                <w:szCs w:val="21"/>
              </w:rPr>
              <w:t xml:space="preserve">Short Term </w:t>
            </w:r>
            <w:r w:rsidR="0016368C" w:rsidRPr="0094561D">
              <w:rPr>
                <w:rFonts w:asciiTheme="minorHAnsi" w:hAnsiTheme="minorHAnsi" w:cstheme="minorHAnsi"/>
                <w:sz w:val="21"/>
                <w:szCs w:val="21"/>
              </w:rPr>
              <w:t>Growth portfolios emphasize capital appreciation and usually have some exposure to more volatile growth assets.</w:t>
            </w:r>
          </w:p>
        </w:tc>
        <w:tc>
          <w:tcPr>
            <w:tcW w:w="1481" w:type="dxa"/>
            <w:tcBorders>
              <w:top w:val="thinThickSmallGap" w:sz="24" w:space="0" w:color="auto"/>
            </w:tcBorders>
            <w:shd w:val="clear" w:color="auto" w:fill="F2F2F2" w:themeFill="background1" w:themeFillShade="F2"/>
            <w:vAlign w:val="center"/>
          </w:tcPr>
          <w:p w14:paraId="1A5E726E" w14:textId="4987F93B" w:rsidR="0016368C" w:rsidRPr="0094561D" w:rsidRDefault="004F4AA6" w:rsidP="00F14793">
            <w:pPr>
              <w:widowControl/>
              <w:adjustRightInd w:val="0"/>
              <w:spacing w:before="100" w:after="100"/>
              <w:jc w:val="center"/>
              <w:rPr>
                <w:rFonts w:asciiTheme="minorHAnsi" w:eastAsiaTheme="minorHAnsi" w:hAnsiTheme="minorHAnsi" w:cstheme="minorHAnsi"/>
                <w:sz w:val="21"/>
                <w:szCs w:val="21"/>
              </w:rPr>
            </w:pPr>
            <w:r>
              <w:rPr>
                <w:rFonts w:asciiTheme="minorHAnsi" w:eastAsiaTheme="minorHAnsi" w:hAnsiTheme="minorHAnsi" w:cstheme="minorHAnsi"/>
                <w:sz w:val="21"/>
                <w:szCs w:val="21"/>
              </w:rPr>
              <w:t>Low</w:t>
            </w:r>
          </w:p>
        </w:tc>
        <w:tc>
          <w:tcPr>
            <w:tcW w:w="4440" w:type="dxa"/>
            <w:tcBorders>
              <w:top w:val="thinThickSmallGap" w:sz="24" w:space="0" w:color="auto"/>
            </w:tcBorders>
            <w:shd w:val="clear" w:color="auto" w:fill="BFBFBF" w:themeFill="background1" w:themeFillShade="BF"/>
            <w:vAlign w:val="center"/>
          </w:tcPr>
          <w:p w14:paraId="345893D1" w14:textId="059D4A05" w:rsidR="0016368C" w:rsidRPr="0094561D" w:rsidRDefault="0099082D" w:rsidP="0099082D">
            <w:pPr>
              <w:widowControl/>
              <w:adjustRightInd w:val="0"/>
              <w:spacing w:before="100" w:after="100"/>
              <w:jc w:val="both"/>
              <w:rPr>
                <w:rFonts w:asciiTheme="minorHAnsi" w:hAnsiTheme="minorHAnsi" w:cstheme="minorHAnsi"/>
                <w:sz w:val="21"/>
                <w:szCs w:val="21"/>
              </w:rPr>
            </w:pPr>
            <w:r>
              <w:rPr>
                <w:rFonts w:asciiTheme="minorHAnsi" w:hAnsiTheme="minorHAnsi" w:cstheme="minorHAnsi"/>
                <w:sz w:val="21"/>
                <w:szCs w:val="21"/>
              </w:rPr>
              <w:t xml:space="preserve">Low </w:t>
            </w:r>
            <w:r w:rsidR="0016368C" w:rsidRPr="0094561D">
              <w:rPr>
                <w:rFonts w:asciiTheme="minorHAnsi" w:hAnsiTheme="minorHAnsi" w:cstheme="minorHAnsi"/>
                <w:sz w:val="21"/>
                <w:szCs w:val="21"/>
              </w:rPr>
              <w:t xml:space="preserve">investors generally assume a lower amount of </w:t>
            </w:r>
            <w:r w:rsidR="00766B05" w:rsidRPr="0094561D">
              <w:rPr>
                <w:rFonts w:asciiTheme="minorHAnsi" w:hAnsiTheme="minorHAnsi" w:cstheme="minorHAnsi"/>
                <w:sz w:val="21"/>
                <w:szCs w:val="21"/>
              </w:rPr>
              <w:t>risk but</w:t>
            </w:r>
            <w:r w:rsidR="0016368C" w:rsidRPr="0094561D">
              <w:rPr>
                <w:rFonts w:asciiTheme="minorHAnsi" w:hAnsiTheme="minorHAnsi" w:cstheme="minorHAnsi"/>
                <w:sz w:val="21"/>
                <w:szCs w:val="21"/>
              </w:rPr>
              <w:t xml:space="preserve"> may still experience losses or have lower expected returns.</w:t>
            </w:r>
          </w:p>
        </w:tc>
      </w:tr>
      <w:tr w:rsidR="0016368C" w:rsidRPr="0094561D" w14:paraId="2D40B8AD" w14:textId="77777777" w:rsidTr="00412143">
        <w:trPr>
          <w:jc w:val="center"/>
        </w:trPr>
        <w:tc>
          <w:tcPr>
            <w:tcW w:w="1358" w:type="dxa"/>
            <w:vMerge/>
            <w:vAlign w:val="center"/>
          </w:tcPr>
          <w:p w14:paraId="349BB003" w14:textId="77777777" w:rsidR="0016368C" w:rsidRPr="0094561D" w:rsidRDefault="0016368C" w:rsidP="00F14793">
            <w:pPr>
              <w:widowControl/>
              <w:adjustRightInd w:val="0"/>
              <w:spacing w:before="100" w:after="100"/>
              <w:rPr>
                <w:rFonts w:asciiTheme="minorHAnsi" w:eastAsiaTheme="minorHAnsi" w:hAnsiTheme="minorHAnsi" w:cstheme="minorHAnsi"/>
                <w:sz w:val="21"/>
                <w:szCs w:val="21"/>
              </w:rPr>
            </w:pPr>
          </w:p>
        </w:tc>
        <w:tc>
          <w:tcPr>
            <w:tcW w:w="2071" w:type="dxa"/>
            <w:vMerge/>
            <w:vAlign w:val="center"/>
          </w:tcPr>
          <w:p w14:paraId="53BC3B94" w14:textId="77777777" w:rsidR="0016368C" w:rsidRPr="0094561D" w:rsidRDefault="0016368C" w:rsidP="00F14793">
            <w:pPr>
              <w:widowControl/>
              <w:adjustRightInd w:val="0"/>
              <w:spacing w:before="100" w:after="100"/>
              <w:rPr>
                <w:rFonts w:asciiTheme="minorHAnsi" w:eastAsiaTheme="minorHAnsi" w:hAnsiTheme="minorHAnsi" w:cstheme="minorHAnsi"/>
                <w:sz w:val="21"/>
                <w:szCs w:val="21"/>
              </w:rPr>
            </w:pPr>
          </w:p>
        </w:tc>
        <w:tc>
          <w:tcPr>
            <w:tcW w:w="1481" w:type="dxa"/>
            <w:shd w:val="clear" w:color="auto" w:fill="F2F2F2" w:themeFill="background1" w:themeFillShade="F2"/>
            <w:vAlign w:val="center"/>
          </w:tcPr>
          <w:p w14:paraId="77468A75" w14:textId="77777777" w:rsidR="0016368C" w:rsidRPr="0094561D" w:rsidRDefault="0016368C" w:rsidP="00F14793">
            <w:pPr>
              <w:widowControl/>
              <w:adjustRightInd w:val="0"/>
              <w:spacing w:before="100" w:after="100"/>
              <w:jc w:val="center"/>
              <w:rPr>
                <w:rFonts w:asciiTheme="minorHAnsi" w:eastAsiaTheme="minorHAnsi" w:hAnsiTheme="minorHAnsi" w:cstheme="minorHAnsi"/>
                <w:sz w:val="21"/>
                <w:szCs w:val="21"/>
              </w:rPr>
            </w:pPr>
            <w:r w:rsidRPr="0094561D">
              <w:rPr>
                <w:rFonts w:asciiTheme="minorHAnsi" w:eastAsiaTheme="minorHAnsi" w:hAnsiTheme="minorHAnsi" w:cstheme="minorHAnsi"/>
                <w:sz w:val="21"/>
                <w:szCs w:val="21"/>
              </w:rPr>
              <w:t>Moderate</w:t>
            </w:r>
          </w:p>
        </w:tc>
        <w:tc>
          <w:tcPr>
            <w:tcW w:w="4440" w:type="dxa"/>
            <w:shd w:val="clear" w:color="auto" w:fill="BFBFBF" w:themeFill="background1" w:themeFillShade="BF"/>
            <w:vAlign w:val="center"/>
          </w:tcPr>
          <w:p w14:paraId="683AA7B5" w14:textId="52B9F9DF" w:rsidR="0016368C" w:rsidRPr="0094561D" w:rsidRDefault="0016368C" w:rsidP="0099082D">
            <w:pPr>
              <w:widowControl/>
              <w:adjustRightInd w:val="0"/>
              <w:spacing w:before="100" w:after="100"/>
              <w:jc w:val="both"/>
              <w:rPr>
                <w:rFonts w:asciiTheme="minorHAnsi" w:hAnsiTheme="minorHAnsi" w:cstheme="minorHAnsi"/>
                <w:sz w:val="21"/>
                <w:szCs w:val="21"/>
              </w:rPr>
            </w:pPr>
            <w:r w:rsidRPr="0094561D">
              <w:rPr>
                <w:rFonts w:asciiTheme="minorHAnsi" w:hAnsiTheme="minorHAnsi" w:cstheme="minorHAnsi"/>
                <w:sz w:val="21"/>
                <w:szCs w:val="21"/>
              </w:rPr>
              <w:t>Moderate investors are willing to accept a modest level of risk that may result in increased losses in exchange for the potential to receive modest returns.</w:t>
            </w:r>
          </w:p>
        </w:tc>
      </w:tr>
      <w:tr w:rsidR="004F4AA6" w:rsidRPr="0094561D" w14:paraId="65C09E94" w14:textId="77777777" w:rsidTr="00412143">
        <w:trPr>
          <w:jc w:val="center"/>
        </w:trPr>
        <w:tc>
          <w:tcPr>
            <w:tcW w:w="1358" w:type="dxa"/>
            <w:vMerge/>
            <w:vAlign w:val="center"/>
          </w:tcPr>
          <w:p w14:paraId="3D1818D7" w14:textId="77777777" w:rsidR="004F4AA6" w:rsidRPr="0094561D" w:rsidRDefault="004F4AA6" w:rsidP="00F14793">
            <w:pPr>
              <w:widowControl/>
              <w:adjustRightInd w:val="0"/>
              <w:spacing w:before="100" w:after="100"/>
              <w:rPr>
                <w:rFonts w:asciiTheme="minorHAnsi" w:eastAsiaTheme="minorHAnsi" w:hAnsiTheme="minorHAnsi" w:cstheme="minorHAnsi"/>
                <w:sz w:val="21"/>
                <w:szCs w:val="21"/>
              </w:rPr>
            </w:pPr>
          </w:p>
        </w:tc>
        <w:tc>
          <w:tcPr>
            <w:tcW w:w="2071" w:type="dxa"/>
            <w:vMerge/>
            <w:vAlign w:val="center"/>
          </w:tcPr>
          <w:p w14:paraId="607DD63B" w14:textId="77777777" w:rsidR="004F4AA6" w:rsidRPr="0094561D" w:rsidRDefault="004F4AA6" w:rsidP="00F14793">
            <w:pPr>
              <w:widowControl/>
              <w:adjustRightInd w:val="0"/>
              <w:spacing w:before="100" w:after="100"/>
              <w:rPr>
                <w:rFonts w:asciiTheme="minorHAnsi" w:eastAsiaTheme="minorHAnsi" w:hAnsiTheme="minorHAnsi" w:cstheme="minorHAnsi"/>
                <w:sz w:val="21"/>
                <w:szCs w:val="21"/>
              </w:rPr>
            </w:pPr>
          </w:p>
        </w:tc>
        <w:tc>
          <w:tcPr>
            <w:tcW w:w="1481" w:type="dxa"/>
            <w:shd w:val="clear" w:color="auto" w:fill="F2F2F2" w:themeFill="background1" w:themeFillShade="F2"/>
            <w:vAlign w:val="center"/>
          </w:tcPr>
          <w:p w14:paraId="56908560" w14:textId="4EB37CEB" w:rsidR="004F4AA6" w:rsidRPr="0094561D" w:rsidRDefault="004F4AA6" w:rsidP="00F14793">
            <w:pPr>
              <w:widowControl/>
              <w:adjustRightInd w:val="0"/>
              <w:spacing w:before="100" w:after="100"/>
              <w:jc w:val="center"/>
              <w:rPr>
                <w:rFonts w:asciiTheme="minorHAnsi" w:eastAsiaTheme="minorHAnsi" w:hAnsiTheme="minorHAnsi" w:cstheme="minorHAnsi"/>
                <w:sz w:val="21"/>
                <w:szCs w:val="21"/>
              </w:rPr>
            </w:pPr>
            <w:r>
              <w:rPr>
                <w:rFonts w:asciiTheme="minorHAnsi" w:eastAsiaTheme="minorHAnsi" w:hAnsiTheme="minorHAnsi" w:cstheme="minorHAnsi"/>
                <w:sz w:val="21"/>
                <w:szCs w:val="21"/>
              </w:rPr>
              <w:t>Speculation</w:t>
            </w:r>
          </w:p>
        </w:tc>
        <w:tc>
          <w:tcPr>
            <w:tcW w:w="4440" w:type="dxa"/>
            <w:shd w:val="clear" w:color="auto" w:fill="BFBFBF" w:themeFill="background1" w:themeFillShade="BF"/>
            <w:vAlign w:val="center"/>
          </w:tcPr>
          <w:p w14:paraId="01599BF4" w14:textId="77A23CBD" w:rsidR="004F4AA6" w:rsidRPr="0094561D" w:rsidRDefault="0099082D" w:rsidP="0099082D">
            <w:pPr>
              <w:widowControl/>
              <w:adjustRightInd w:val="0"/>
              <w:spacing w:before="100" w:after="100"/>
              <w:jc w:val="both"/>
              <w:rPr>
                <w:rFonts w:asciiTheme="minorHAnsi" w:hAnsiTheme="minorHAnsi" w:cstheme="minorHAnsi"/>
                <w:sz w:val="21"/>
                <w:szCs w:val="21"/>
              </w:rPr>
            </w:pPr>
            <w:r>
              <w:rPr>
                <w:rFonts w:asciiTheme="minorHAnsi" w:hAnsiTheme="minorHAnsi" w:cstheme="minorHAnsi"/>
                <w:sz w:val="21"/>
                <w:szCs w:val="21"/>
              </w:rPr>
              <w:t>Speculation</w:t>
            </w:r>
            <w:r w:rsidRPr="0094561D">
              <w:rPr>
                <w:rFonts w:asciiTheme="minorHAnsi" w:hAnsiTheme="minorHAnsi" w:cstheme="minorHAnsi"/>
                <w:sz w:val="21"/>
                <w:szCs w:val="21"/>
              </w:rPr>
              <w:t xml:space="preserve"> investors seek a higher level of returns and are willing to accept a higher level of risk that may result in greater losses.</w:t>
            </w:r>
          </w:p>
        </w:tc>
      </w:tr>
      <w:tr w:rsidR="0016368C" w:rsidRPr="0094561D" w14:paraId="7D7200B9" w14:textId="77777777" w:rsidTr="00412143">
        <w:trPr>
          <w:jc w:val="center"/>
        </w:trPr>
        <w:tc>
          <w:tcPr>
            <w:tcW w:w="1358" w:type="dxa"/>
            <w:vMerge/>
            <w:tcBorders>
              <w:bottom w:val="thinThickSmallGap" w:sz="24" w:space="0" w:color="auto"/>
            </w:tcBorders>
            <w:vAlign w:val="center"/>
          </w:tcPr>
          <w:p w14:paraId="26F98A3C" w14:textId="77777777" w:rsidR="0016368C" w:rsidRPr="0094561D" w:rsidRDefault="0016368C" w:rsidP="00F14793">
            <w:pPr>
              <w:widowControl/>
              <w:adjustRightInd w:val="0"/>
              <w:spacing w:before="100" w:after="100"/>
              <w:rPr>
                <w:rFonts w:asciiTheme="minorHAnsi" w:eastAsiaTheme="minorHAnsi" w:hAnsiTheme="minorHAnsi" w:cstheme="minorHAnsi"/>
                <w:sz w:val="21"/>
                <w:szCs w:val="21"/>
              </w:rPr>
            </w:pPr>
          </w:p>
        </w:tc>
        <w:tc>
          <w:tcPr>
            <w:tcW w:w="2071" w:type="dxa"/>
            <w:vMerge/>
            <w:tcBorders>
              <w:bottom w:val="thinThickSmallGap" w:sz="24" w:space="0" w:color="auto"/>
            </w:tcBorders>
            <w:vAlign w:val="center"/>
          </w:tcPr>
          <w:p w14:paraId="4E38DAEA" w14:textId="77777777" w:rsidR="0016368C" w:rsidRPr="0094561D" w:rsidRDefault="0016368C" w:rsidP="00F14793">
            <w:pPr>
              <w:widowControl/>
              <w:adjustRightInd w:val="0"/>
              <w:spacing w:before="100" w:after="100"/>
              <w:rPr>
                <w:rFonts w:asciiTheme="minorHAnsi" w:eastAsiaTheme="minorHAnsi" w:hAnsiTheme="minorHAnsi" w:cstheme="minorHAnsi"/>
                <w:sz w:val="21"/>
                <w:szCs w:val="21"/>
              </w:rPr>
            </w:pPr>
          </w:p>
        </w:tc>
        <w:tc>
          <w:tcPr>
            <w:tcW w:w="1481" w:type="dxa"/>
            <w:tcBorders>
              <w:bottom w:val="thinThickSmallGap" w:sz="24" w:space="0" w:color="auto"/>
            </w:tcBorders>
            <w:shd w:val="clear" w:color="auto" w:fill="F2F2F2" w:themeFill="background1" w:themeFillShade="F2"/>
            <w:vAlign w:val="center"/>
          </w:tcPr>
          <w:p w14:paraId="763328E8" w14:textId="1E9ED6CA" w:rsidR="0016368C" w:rsidRPr="0094561D" w:rsidRDefault="004F4AA6" w:rsidP="00F14793">
            <w:pPr>
              <w:widowControl/>
              <w:adjustRightInd w:val="0"/>
              <w:spacing w:before="100" w:after="100"/>
              <w:jc w:val="center"/>
              <w:rPr>
                <w:rFonts w:asciiTheme="minorHAnsi" w:eastAsiaTheme="minorHAnsi" w:hAnsiTheme="minorHAnsi" w:cstheme="minorHAnsi"/>
                <w:sz w:val="21"/>
                <w:szCs w:val="21"/>
              </w:rPr>
            </w:pPr>
            <w:r>
              <w:rPr>
                <w:rFonts w:asciiTheme="minorHAnsi" w:eastAsiaTheme="minorHAnsi" w:hAnsiTheme="minorHAnsi" w:cstheme="minorHAnsi"/>
                <w:sz w:val="21"/>
                <w:szCs w:val="21"/>
              </w:rPr>
              <w:t>High Risk</w:t>
            </w:r>
          </w:p>
        </w:tc>
        <w:tc>
          <w:tcPr>
            <w:tcW w:w="4440" w:type="dxa"/>
            <w:tcBorders>
              <w:bottom w:val="thinThickSmallGap" w:sz="24" w:space="0" w:color="auto"/>
            </w:tcBorders>
            <w:shd w:val="clear" w:color="auto" w:fill="BFBFBF" w:themeFill="background1" w:themeFillShade="BF"/>
            <w:vAlign w:val="center"/>
          </w:tcPr>
          <w:p w14:paraId="23B54DAF" w14:textId="69ED6148" w:rsidR="0016368C" w:rsidRPr="0094561D" w:rsidRDefault="0099082D" w:rsidP="0099082D">
            <w:pPr>
              <w:widowControl/>
              <w:adjustRightInd w:val="0"/>
              <w:spacing w:before="100" w:after="100"/>
              <w:jc w:val="both"/>
              <w:rPr>
                <w:rFonts w:asciiTheme="minorHAnsi" w:hAnsiTheme="minorHAnsi" w:cstheme="minorHAnsi"/>
                <w:sz w:val="21"/>
                <w:szCs w:val="21"/>
              </w:rPr>
            </w:pPr>
            <w:r>
              <w:rPr>
                <w:rFonts w:asciiTheme="minorHAnsi" w:hAnsiTheme="minorHAnsi" w:cstheme="minorHAnsi"/>
                <w:sz w:val="21"/>
                <w:szCs w:val="21"/>
              </w:rPr>
              <w:t xml:space="preserve">High Risk </w:t>
            </w:r>
            <w:r w:rsidR="0016368C" w:rsidRPr="0094561D">
              <w:rPr>
                <w:rFonts w:asciiTheme="minorHAnsi" w:hAnsiTheme="minorHAnsi" w:cstheme="minorHAnsi"/>
                <w:sz w:val="21"/>
                <w:szCs w:val="21"/>
              </w:rPr>
              <w:t>investors seek a higher level of returns and are willing to accept a higher level of risk that may result in</w:t>
            </w:r>
            <w:r>
              <w:rPr>
                <w:rFonts w:asciiTheme="minorHAnsi" w:hAnsiTheme="minorHAnsi" w:cstheme="minorHAnsi"/>
                <w:sz w:val="21"/>
                <w:szCs w:val="21"/>
              </w:rPr>
              <w:t xml:space="preserve"> some or all investment being lost</w:t>
            </w:r>
            <w:r w:rsidR="0016368C" w:rsidRPr="0094561D">
              <w:rPr>
                <w:rFonts w:asciiTheme="minorHAnsi" w:hAnsiTheme="minorHAnsi" w:cstheme="minorHAnsi"/>
                <w:sz w:val="21"/>
                <w:szCs w:val="21"/>
              </w:rPr>
              <w:t>.</w:t>
            </w:r>
          </w:p>
        </w:tc>
      </w:tr>
      <w:tr w:rsidR="0016368C" w:rsidRPr="0094561D" w14:paraId="03632624" w14:textId="77777777" w:rsidTr="00412143">
        <w:trPr>
          <w:jc w:val="center"/>
        </w:trPr>
        <w:tc>
          <w:tcPr>
            <w:tcW w:w="1358" w:type="dxa"/>
            <w:vMerge w:val="restart"/>
            <w:tcBorders>
              <w:top w:val="thinThickSmallGap" w:sz="24" w:space="0" w:color="auto"/>
            </w:tcBorders>
            <w:vAlign w:val="center"/>
          </w:tcPr>
          <w:p w14:paraId="1992A45B" w14:textId="20B53964" w:rsidR="0016368C" w:rsidRPr="0094561D" w:rsidRDefault="004F4AA6" w:rsidP="0016368C">
            <w:pPr>
              <w:widowControl/>
              <w:adjustRightInd w:val="0"/>
              <w:spacing w:before="100" w:after="100"/>
              <w:rPr>
                <w:rFonts w:asciiTheme="minorHAnsi" w:hAnsiTheme="minorHAnsi" w:cstheme="minorHAnsi"/>
                <w:sz w:val="21"/>
                <w:szCs w:val="21"/>
              </w:rPr>
            </w:pPr>
            <w:r>
              <w:rPr>
                <w:rFonts w:asciiTheme="minorHAnsi" w:hAnsiTheme="minorHAnsi" w:cstheme="minorHAnsi"/>
                <w:sz w:val="21"/>
                <w:szCs w:val="21"/>
              </w:rPr>
              <w:t>Long Term Growth</w:t>
            </w:r>
          </w:p>
        </w:tc>
        <w:tc>
          <w:tcPr>
            <w:tcW w:w="2071" w:type="dxa"/>
            <w:vMerge w:val="restart"/>
            <w:tcBorders>
              <w:top w:val="thinThickSmallGap" w:sz="24" w:space="0" w:color="auto"/>
            </w:tcBorders>
            <w:vAlign w:val="center"/>
          </w:tcPr>
          <w:p w14:paraId="29B8074F" w14:textId="4F20725D" w:rsidR="0016368C" w:rsidRPr="0094561D" w:rsidRDefault="004F4AA6" w:rsidP="004F4AA6">
            <w:pPr>
              <w:widowControl/>
              <w:adjustRightInd w:val="0"/>
              <w:spacing w:before="100" w:after="100"/>
              <w:rPr>
                <w:rFonts w:asciiTheme="minorHAnsi" w:hAnsiTheme="minorHAnsi" w:cstheme="minorHAnsi"/>
                <w:sz w:val="21"/>
                <w:szCs w:val="21"/>
              </w:rPr>
            </w:pPr>
            <w:r>
              <w:rPr>
                <w:rFonts w:asciiTheme="minorHAnsi" w:hAnsiTheme="minorHAnsi" w:cstheme="minorHAnsi"/>
                <w:sz w:val="21"/>
                <w:szCs w:val="21"/>
              </w:rPr>
              <w:t xml:space="preserve">Long Term </w:t>
            </w:r>
            <w:r w:rsidR="0016368C" w:rsidRPr="0094561D">
              <w:rPr>
                <w:rFonts w:asciiTheme="minorHAnsi" w:hAnsiTheme="minorHAnsi" w:cstheme="minorHAnsi"/>
                <w:sz w:val="21"/>
                <w:szCs w:val="21"/>
              </w:rPr>
              <w:t>Growth portfolios emphasize capital appreciation and usually have significant exposure to more volatile growth assets.</w:t>
            </w:r>
          </w:p>
        </w:tc>
        <w:tc>
          <w:tcPr>
            <w:tcW w:w="1481" w:type="dxa"/>
            <w:tcBorders>
              <w:top w:val="thinThickSmallGap" w:sz="24" w:space="0" w:color="auto"/>
            </w:tcBorders>
            <w:shd w:val="clear" w:color="auto" w:fill="F2F2F2" w:themeFill="background1" w:themeFillShade="F2"/>
            <w:vAlign w:val="center"/>
          </w:tcPr>
          <w:p w14:paraId="13FD29C9" w14:textId="2A471F60" w:rsidR="0016368C" w:rsidRPr="0094561D" w:rsidRDefault="004F4AA6" w:rsidP="0016368C">
            <w:pPr>
              <w:widowControl/>
              <w:adjustRightInd w:val="0"/>
              <w:spacing w:before="100" w:after="100"/>
              <w:jc w:val="center"/>
              <w:rPr>
                <w:rFonts w:asciiTheme="minorHAnsi" w:hAnsiTheme="minorHAnsi" w:cstheme="minorHAnsi"/>
                <w:sz w:val="21"/>
                <w:szCs w:val="21"/>
              </w:rPr>
            </w:pPr>
            <w:r>
              <w:rPr>
                <w:rFonts w:asciiTheme="minorHAnsi" w:hAnsiTheme="minorHAnsi" w:cstheme="minorHAnsi"/>
                <w:sz w:val="21"/>
                <w:szCs w:val="21"/>
              </w:rPr>
              <w:t>Low</w:t>
            </w:r>
          </w:p>
        </w:tc>
        <w:tc>
          <w:tcPr>
            <w:tcW w:w="4440" w:type="dxa"/>
            <w:tcBorders>
              <w:top w:val="thinThickSmallGap" w:sz="24" w:space="0" w:color="auto"/>
            </w:tcBorders>
            <w:shd w:val="clear" w:color="auto" w:fill="BFBFBF" w:themeFill="background1" w:themeFillShade="BF"/>
            <w:vAlign w:val="center"/>
          </w:tcPr>
          <w:p w14:paraId="7238AD74" w14:textId="3F75299F" w:rsidR="0016368C" w:rsidRPr="0094561D" w:rsidRDefault="0099082D" w:rsidP="00766B05">
            <w:pPr>
              <w:widowControl/>
              <w:adjustRightInd w:val="0"/>
              <w:spacing w:before="100" w:after="100"/>
              <w:jc w:val="both"/>
              <w:rPr>
                <w:rFonts w:asciiTheme="minorHAnsi" w:hAnsiTheme="minorHAnsi" w:cstheme="minorHAnsi"/>
                <w:sz w:val="21"/>
                <w:szCs w:val="21"/>
              </w:rPr>
            </w:pPr>
            <w:r>
              <w:rPr>
                <w:rFonts w:asciiTheme="minorHAnsi" w:hAnsiTheme="minorHAnsi" w:cstheme="minorHAnsi"/>
                <w:sz w:val="21"/>
                <w:szCs w:val="21"/>
              </w:rPr>
              <w:t xml:space="preserve">Low </w:t>
            </w:r>
            <w:r w:rsidRPr="0094561D">
              <w:rPr>
                <w:rFonts w:asciiTheme="minorHAnsi" w:hAnsiTheme="minorHAnsi" w:cstheme="minorHAnsi"/>
                <w:sz w:val="21"/>
                <w:szCs w:val="21"/>
              </w:rPr>
              <w:t>investors generally assume a lower amount of risk but may still experience losses or have lower expected returns.</w:t>
            </w:r>
          </w:p>
        </w:tc>
      </w:tr>
      <w:tr w:rsidR="0016368C" w:rsidRPr="0094561D" w14:paraId="04928EF4" w14:textId="77777777" w:rsidTr="00412143">
        <w:trPr>
          <w:jc w:val="center"/>
        </w:trPr>
        <w:tc>
          <w:tcPr>
            <w:tcW w:w="1358" w:type="dxa"/>
            <w:vMerge/>
            <w:vAlign w:val="center"/>
          </w:tcPr>
          <w:p w14:paraId="0DBAF53E" w14:textId="77777777" w:rsidR="0016368C" w:rsidRPr="0094561D" w:rsidRDefault="0016368C" w:rsidP="0016368C">
            <w:pPr>
              <w:widowControl/>
              <w:adjustRightInd w:val="0"/>
              <w:spacing w:before="100" w:after="100"/>
              <w:rPr>
                <w:rFonts w:asciiTheme="minorHAnsi" w:hAnsiTheme="minorHAnsi" w:cstheme="minorHAnsi"/>
                <w:sz w:val="21"/>
                <w:szCs w:val="21"/>
              </w:rPr>
            </w:pPr>
          </w:p>
        </w:tc>
        <w:tc>
          <w:tcPr>
            <w:tcW w:w="2071" w:type="dxa"/>
            <w:vMerge/>
            <w:vAlign w:val="center"/>
          </w:tcPr>
          <w:p w14:paraId="585F0DE9" w14:textId="77777777" w:rsidR="0016368C" w:rsidRPr="0094561D" w:rsidRDefault="0016368C" w:rsidP="0016368C">
            <w:pPr>
              <w:widowControl/>
              <w:adjustRightInd w:val="0"/>
              <w:spacing w:before="100" w:after="100"/>
              <w:rPr>
                <w:rFonts w:asciiTheme="minorHAnsi" w:hAnsiTheme="minorHAnsi" w:cstheme="minorHAnsi"/>
                <w:sz w:val="21"/>
                <w:szCs w:val="21"/>
              </w:rPr>
            </w:pPr>
          </w:p>
        </w:tc>
        <w:tc>
          <w:tcPr>
            <w:tcW w:w="1481" w:type="dxa"/>
            <w:shd w:val="clear" w:color="auto" w:fill="F2F2F2" w:themeFill="background1" w:themeFillShade="F2"/>
            <w:vAlign w:val="center"/>
          </w:tcPr>
          <w:p w14:paraId="51A57AEF" w14:textId="77777777" w:rsidR="0016368C" w:rsidRPr="0094561D" w:rsidRDefault="0016368C" w:rsidP="0016368C">
            <w:pPr>
              <w:widowControl/>
              <w:adjustRightInd w:val="0"/>
              <w:spacing w:before="100" w:after="100"/>
              <w:jc w:val="center"/>
              <w:rPr>
                <w:rFonts w:asciiTheme="minorHAnsi" w:hAnsiTheme="minorHAnsi" w:cstheme="minorHAnsi"/>
                <w:sz w:val="21"/>
                <w:szCs w:val="21"/>
              </w:rPr>
            </w:pPr>
            <w:r w:rsidRPr="0094561D">
              <w:rPr>
                <w:rFonts w:asciiTheme="minorHAnsi" w:hAnsiTheme="minorHAnsi" w:cstheme="minorHAnsi"/>
                <w:sz w:val="21"/>
                <w:szCs w:val="21"/>
              </w:rPr>
              <w:t>Moderate</w:t>
            </w:r>
          </w:p>
        </w:tc>
        <w:tc>
          <w:tcPr>
            <w:tcW w:w="4440" w:type="dxa"/>
            <w:shd w:val="clear" w:color="auto" w:fill="BFBFBF" w:themeFill="background1" w:themeFillShade="BF"/>
            <w:vAlign w:val="center"/>
          </w:tcPr>
          <w:p w14:paraId="546A141D" w14:textId="7B42F18C" w:rsidR="0016368C" w:rsidRPr="0094561D" w:rsidRDefault="0099082D" w:rsidP="00766B05">
            <w:pPr>
              <w:widowControl/>
              <w:adjustRightInd w:val="0"/>
              <w:spacing w:before="100" w:after="100"/>
              <w:jc w:val="both"/>
              <w:rPr>
                <w:rFonts w:asciiTheme="minorHAnsi" w:hAnsiTheme="minorHAnsi" w:cstheme="minorHAnsi"/>
                <w:sz w:val="21"/>
                <w:szCs w:val="21"/>
              </w:rPr>
            </w:pPr>
            <w:r w:rsidRPr="0094561D">
              <w:rPr>
                <w:rFonts w:asciiTheme="minorHAnsi" w:hAnsiTheme="minorHAnsi" w:cstheme="minorHAnsi"/>
                <w:sz w:val="21"/>
                <w:szCs w:val="21"/>
              </w:rPr>
              <w:t>Moderate investors are willing to accept a modest level of risk that may result in increased losses in exchange for the potential to receive modest returns.</w:t>
            </w:r>
          </w:p>
        </w:tc>
      </w:tr>
      <w:tr w:rsidR="004F4AA6" w:rsidRPr="0094561D" w14:paraId="5FE79DC3" w14:textId="77777777" w:rsidTr="00412143">
        <w:trPr>
          <w:jc w:val="center"/>
        </w:trPr>
        <w:tc>
          <w:tcPr>
            <w:tcW w:w="1358" w:type="dxa"/>
            <w:vMerge/>
            <w:vAlign w:val="center"/>
          </w:tcPr>
          <w:p w14:paraId="1BB06B75" w14:textId="77777777" w:rsidR="004F4AA6" w:rsidRPr="0094561D" w:rsidRDefault="004F4AA6" w:rsidP="0016368C">
            <w:pPr>
              <w:widowControl/>
              <w:adjustRightInd w:val="0"/>
              <w:spacing w:before="100" w:after="100"/>
              <w:rPr>
                <w:rFonts w:asciiTheme="minorHAnsi" w:hAnsiTheme="minorHAnsi" w:cstheme="minorHAnsi"/>
                <w:sz w:val="21"/>
                <w:szCs w:val="21"/>
              </w:rPr>
            </w:pPr>
          </w:p>
        </w:tc>
        <w:tc>
          <w:tcPr>
            <w:tcW w:w="2071" w:type="dxa"/>
            <w:vMerge/>
            <w:vAlign w:val="center"/>
          </w:tcPr>
          <w:p w14:paraId="5A172219" w14:textId="77777777" w:rsidR="004F4AA6" w:rsidRPr="0094561D" w:rsidRDefault="004F4AA6" w:rsidP="0016368C">
            <w:pPr>
              <w:widowControl/>
              <w:adjustRightInd w:val="0"/>
              <w:spacing w:before="100" w:after="100"/>
              <w:rPr>
                <w:rFonts w:asciiTheme="minorHAnsi" w:hAnsiTheme="minorHAnsi" w:cstheme="minorHAnsi"/>
                <w:sz w:val="21"/>
                <w:szCs w:val="21"/>
              </w:rPr>
            </w:pPr>
          </w:p>
        </w:tc>
        <w:tc>
          <w:tcPr>
            <w:tcW w:w="1481" w:type="dxa"/>
            <w:shd w:val="clear" w:color="auto" w:fill="F2F2F2" w:themeFill="background1" w:themeFillShade="F2"/>
            <w:vAlign w:val="center"/>
          </w:tcPr>
          <w:p w14:paraId="4483F492" w14:textId="731AE96E" w:rsidR="004F4AA6" w:rsidRPr="0094561D" w:rsidRDefault="004F4AA6" w:rsidP="0016368C">
            <w:pPr>
              <w:widowControl/>
              <w:adjustRightInd w:val="0"/>
              <w:spacing w:before="100" w:after="100"/>
              <w:jc w:val="center"/>
              <w:rPr>
                <w:rFonts w:asciiTheme="minorHAnsi" w:hAnsiTheme="minorHAnsi" w:cstheme="minorHAnsi"/>
                <w:sz w:val="21"/>
                <w:szCs w:val="21"/>
              </w:rPr>
            </w:pPr>
            <w:r>
              <w:rPr>
                <w:rFonts w:asciiTheme="minorHAnsi" w:eastAsiaTheme="minorHAnsi" w:hAnsiTheme="minorHAnsi" w:cstheme="minorHAnsi"/>
                <w:sz w:val="21"/>
                <w:szCs w:val="21"/>
              </w:rPr>
              <w:t>Speculation</w:t>
            </w:r>
          </w:p>
        </w:tc>
        <w:tc>
          <w:tcPr>
            <w:tcW w:w="4440" w:type="dxa"/>
            <w:shd w:val="clear" w:color="auto" w:fill="BFBFBF" w:themeFill="background1" w:themeFillShade="BF"/>
            <w:vAlign w:val="center"/>
          </w:tcPr>
          <w:p w14:paraId="154A5690" w14:textId="07B88C07" w:rsidR="004F4AA6" w:rsidRPr="0094561D" w:rsidRDefault="0099082D" w:rsidP="00766B05">
            <w:pPr>
              <w:widowControl/>
              <w:adjustRightInd w:val="0"/>
              <w:spacing w:before="100" w:after="100"/>
              <w:jc w:val="both"/>
              <w:rPr>
                <w:rFonts w:asciiTheme="minorHAnsi" w:hAnsiTheme="minorHAnsi" w:cstheme="minorHAnsi"/>
                <w:sz w:val="21"/>
                <w:szCs w:val="21"/>
              </w:rPr>
            </w:pPr>
            <w:r>
              <w:rPr>
                <w:rFonts w:asciiTheme="minorHAnsi" w:hAnsiTheme="minorHAnsi" w:cstheme="minorHAnsi"/>
                <w:sz w:val="21"/>
                <w:szCs w:val="21"/>
              </w:rPr>
              <w:t>Speculation</w:t>
            </w:r>
            <w:r w:rsidRPr="0094561D">
              <w:rPr>
                <w:rFonts w:asciiTheme="minorHAnsi" w:hAnsiTheme="minorHAnsi" w:cstheme="minorHAnsi"/>
                <w:sz w:val="21"/>
                <w:szCs w:val="21"/>
              </w:rPr>
              <w:t xml:space="preserve"> investors seek a higher level of returns and are willing to accept a higher level of risk that may result in greater losses.</w:t>
            </w:r>
          </w:p>
        </w:tc>
      </w:tr>
      <w:tr w:rsidR="0016368C" w:rsidRPr="0094561D" w14:paraId="4027C531" w14:textId="77777777" w:rsidTr="00412143">
        <w:trPr>
          <w:jc w:val="center"/>
        </w:trPr>
        <w:tc>
          <w:tcPr>
            <w:tcW w:w="1358" w:type="dxa"/>
            <w:vMerge/>
            <w:tcBorders>
              <w:bottom w:val="thinThickSmallGap" w:sz="24" w:space="0" w:color="auto"/>
            </w:tcBorders>
            <w:vAlign w:val="center"/>
          </w:tcPr>
          <w:p w14:paraId="0582E822" w14:textId="77777777" w:rsidR="0016368C" w:rsidRPr="0094561D" w:rsidRDefault="0016368C" w:rsidP="0016368C">
            <w:pPr>
              <w:widowControl/>
              <w:adjustRightInd w:val="0"/>
              <w:spacing w:before="100" w:after="100"/>
              <w:rPr>
                <w:rFonts w:asciiTheme="minorHAnsi" w:hAnsiTheme="minorHAnsi" w:cstheme="minorHAnsi"/>
                <w:sz w:val="21"/>
                <w:szCs w:val="21"/>
              </w:rPr>
            </w:pPr>
          </w:p>
        </w:tc>
        <w:tc>
          <w:tcPr>
            <w:tcW w:w="2071" w:type="dxa"/>
            <w:vMerge/>
            <w:tcBorders>
              <w:bottom w:val="thinThickSmallGap" w:sz="24" w:space="0" w:color="auto"/>
            </w:tcBorders>
            <w:vAlign w:val="center"/>
          </w:tcPr>
          <w:p w14:paraId="0A100A64" w14:textId="77777777" w:rsidR="0016368C" w:rsidRPr="0094561D" w:rsidRDefault="0016368C" w:rsidP="0016368C">
            <w:pPr>
              <w:widowControl/>
              <w:adjustRightInd w:val="0"/>
              <w:spacing w:before="100" w:after="100"/>
              <w:rPr>
                <w:rFonts w:asciiTheme="minorHAnsi" w:hAnsiTheme="minorHAnsi" w:cstheme="minorHAnsi"/>
                <w:sz w:val="21"/>
                <w:szCs w:val="21"/>
              </w:rPr>
            </w:pPr>
          </w:p>
        </w:tc>
        <w:tc>
          <w:tcPr>
            <w:tcW w:w="1481" w:type="dxa"/>
            <w:tcBorders>
              <w:bottom w:val="thinThickSmallGap" w:sz="24" w:space="0" w:color="auto"/>
            </w:tcBorders>
            <w:shd w:val="clear" w:color="auto" w:fill="F2F2F2" w:themeFill="background1" w:themeFillShade="F2"/>
            <w:vAlign w:val="center"/>
          </w:tcPr>
          <w:p w14:paraId="246B4DFC" w14:textId="082DE80D" w:rsidR="0016368C" w:rsidRPr="0094561D" w:rsidRDefault="004F4AA6" w:rsidP="0016368C">
            <w:pPr>
              <w:widowControl/>
              <w:adjustRightInd w:val="0"/>
              <w:spacing w:before="100" w:after="100"/>
              <w:jc w:val="center"/>
              <w:rPr>
                <w:rFonts w:asciiTheme="minorHAnsi" w:hAnsiTheme="minorHAnsi" w:cstheme="minorHAnsi"/>
                <w:sz w:val="21"/>
                <w:szCs w:val="21"/>
              </w:rPr>
            </w:pPr>
            <w:r>
              <w:rPr>
                <w:rFonts w:asciiTheme="minorHAnsi" w:hAnsiTheme="minorHAnsi" w:cstheme="minorHAnsi"/>
                <w:sz w:val="21"/>
                <w:szCs w:val="21"/>
              </w:rPr>
              <w:t>High Risk</w:t>
            </w:r>
          </w:p>
        </w:tc>
        <w:tc>
          <w:tcPr>
            <w:tcW w:w="4440" w:type="dxa"/>
            <w:tcBorders>
              <w:bottom w:val="thinThickSmallGap" w:sz="24" w:space="0" w:color="auto"/>
            </w:tcBorders>
            <w:shd w:val="clear" w:color="auto" w:fill="BFBFBF" w:themeFill="background1" w:themeFillShade="BF"/>
            <w:vAlign w:val="center"/>
          </w:tcPr>
          <w:p w14:paraId="439B841A" w14:textId="13CF6D64" w:rsidR="0016368C" w:rsidRPr="0094561D" w:rsidRDefault="0099082D" w:rsidP="00766B05">
            <w:pPr>
              <w:widowControl/>
              <w:adjustRightInd w:val="0"/>
              <w:spacing w:before="100" w:after="100"/>
              <w:jc w:val="both"/>
              <w:rPr>
                <w:rFonts w:asciiTheme="minorHAnsi" w:hAnsiTheme="minorHAnsi" w:cstheme="minorHAnsi"/>
                <w:sz w:val="21"/>
                <w:szCs w:val="21"/>
              </w:rPr>
            </w:pPr>
            <w:r>
              <w:rPr>
                <w:rFonts w:asciiTheme="minorHAnsi" w:hAnsiTheme="minorHAnsi" w:cstheme="minorHAnsi"/>
                <w:sz w:val="21"/>
                <w:szCs w:val="21"/>
              </w:rPr>
              <w:t xml:space="preserve">High Risk </w:t>
            </w:r>
            <w:r w:rsidRPr="0094561D">
              <w:rPr>
                <w:rFonts w:asciiTheme="minorHAnsi" w:hAnsiTheme="minorHAnsi" w:cstheme="minorHAnsi"/>
                <w:sz w:val="21"/>
                <w:szCs w:val="21"/>
              </w:rPr>
              <w:t>investors seek a higher level of returns and are willing to accept a higher level of risk that may result in</w:t>
            </w:r>
            <w:r>
              <w:rPr>
                <w:rFonts w:asciiTheme="minorHAnsi" w:hAnsiTheme="minorHAnsi" w:cstheme="minorHAnsi"/>
                <w:sz w:val="21"/>
                <w:szCs w:val="21"/>
              </w:rPr>
              <w:t xml:space="preserve"> some or all investment being lost</w:t>
            </w:r>
            <w:r w:rsidRPr="0094561D">
              <w:rPr>
                <w:rFonts w:asciiTheme="minorHAnsi" w:hAnsiTheme="minorHAnsi" w:cstheme="minorHAnsi"/>
                <w:sz w:val="21"/>
                <w:szCs w:val="21"/>
              </w:rPr>
              <w:t>.</w:t>
            </w:r>
          </w:p>
        </w:tc>
      </w:tr>
    </w:tbl>
    <w:p w14:paraId="28DF1D47" w14:textId="77777777" w:rsidR="00412143" w:rsidRPr="0094561D" w:rsidRDefault="00412143" w:rsidP="00412143">
      <w:pPr>
        <w:pStyle w:val="BodyText"/>
        <w:jc w:val="both"/>
        <w:rPr>
          <w:b/>
          <w:bCs/>
          <w:i/>
          <w:iCs/>
          <w:sz w:val="21"/>
          <w:szCs w:val="21"/>
        </w:rPr>
      </w:pPr>
    </w:p>
    <w:p w14:paraId="41A0E922" w14:textId="06814921" w:rsidR="00412143" w:rsidRPr="0094561D" w:rsidRDefault="00412143" w:rsidP="00412143">
      <w:pPr>
        <w:pStyle w:val="BodyText"/>
        <w:ind w:left="144"/>
        <w:jc w:val="both"/>
        <w:rPr>
          <w:rFonts w:asciiTheme="minorHAnsi" w:hAnsiTheme="minorHAnsi" w:cstheme="minorHAnsi"/>
          <w:b/>
          <w:bCs/>
          <w:sz w:val="21"/>
          <w:szCs w:val="21"/>
        </w:rPr>
      </w:pPr>
      <w:r w:rsidRPr="0094561D">
        <w:rPr>
          <w:rFonts w:asciiTheme="minorHAnsi" w:hAnsiTheme="minorHAnsi" w:cstheme="minorHAnsi"/>
          <w:b/>
          <w:bCs/>
          <w:sz w:val="21"/>
          <w:szCs w:val="21"/>
        </w:rPr>
        <w:t>Market Risks</w:t>
      </w:r>
    </w:p>
    <w:p w14:paraId="551C8402" w14:textId="01AB753B" w:rsidR="00412143" w:rsidRPr="0094561D" w:rsidRDefault="00412143" w:rsidP="00412143">
      <w:pPr>
        <w:pStyle w:val="BodyText"/>
        <w:ind w:left="144"/>
        <w:jc w:val="both"/>
        <w:rPr>
          <w:rFonts w:asciiTheme="minorHAnsi" w:hAnsiTheme="minorHAnsi" w:cstheme="minorHAnsi"/>
          <w:sz w:val="21"/>
          <w:szCs w:val="21"/>
        </w:rPr>
      </w:pPr>
      <w:r w:rsidRPr="0094561D">
        <w:rPr>
          <w:rFonts w:asciiTheme="minorHAnsi" w:hAnsiTheme="minorHAnsi" w:cstheme="minorHAnsi"/>
          <w:sz w:val="21"/>
          <w:szCs w:val="21"/>
        </w:rPr>
        <w:t>The value of your holdings may fluctuate in response to events specific to companies or markets, as well as economic, political, or social events in the U.S. and abroad. This risk is linked to the performance of the overall financial markets.</w:t>
      </w:r>
    </w:p>
    <w:p w14:paraId="63F12583" w14:textId="77777777" w:rsidR="00651223" w:rsidRPr="0094561D" w:rsidRDefault="00651223" w:rsidP="00412143">
      <w:pPr>
        <w:pStyle w:val="BodyText"/>
        <w:ind w:left="144"/>
        <w:jc w:val="both"/>
        <w:rPr>
          <w:rFonts w:asciiTheme="minorHAnsi" w:hAnsiTheme="minorHAnsi" w:cstheme="minorHAnsi"/>
          <w:sz w:val="21"/>
          <w:szCs w:val="21"/>
        </w:rPr>
      </w:pPr>
    </w:p>
    <w:p w14:paraId="410B8B56" w14:textId="065D31DF" w:rsidR="00412143" w:rsidRPr="0094561D" w:rsidRDefault="00412143" w:rsidP="00412143">
      <w:pPr>
        <w:pStyle w:val="BodyText"/>
        <w:ind w:left="144"/>
        <w:jc w:val="both"/>
        <w:rPr>
          <w:rFonts w:asciiTheme="minorHAnsi" w:hAnsiTheme="minorHAnsi" w:cstheme="minorHAnsi"/>
          <w:b/>
          <w:bCs/>
          <w:sz w:val="21"/>
          <w:szCs w:val="21"/>
        </w:rPr>
      </w:pPr>
      <w:r w:rsidRPr="0094561D">
        <w:rPr>
          <w:rFonts w:asciiTheme="minorHAnsi" w:hAnsiTheme="minorHAnsi" w:cstheme="minorHAnsi"/>
          <w:b/>
          <w:bCs/>
          <w:sz w:val="21"/>
          <w:szCs w:val="21"/>
        </w:rPr>
        <w:t>E</w:t>
      </w:r>
      <w:r w:rsidR="00CD47CA" w:rsidRPr="0094561D">
        <w:rPr>
          <w:rFonts w:asciiTheme="minorHAnsi" w:hAnsiTheme="minorHAnsi" w:cstheme="minorHAnsi"/>
          <w:b/>
          <w:bCs/>
          <w:sz w:val="21"/>
          <w:szCs w:val="21"/>
        </w:rPr>
        <w:t xml:space="preserve">xchange </w:t>
      </w:r>
      <w:r w:rsidRPr="0094561D">
        <w:rPr>
          <w:rFonts w:asciiTheme="minorHAnsi" w:hAnsiTheme="minorHAnsi" w:cstheme="minorHAnsi"/>
          <w:b/>
          <w:bCs/>
          <w:sz w:val="21"/>
          <w:szCs w:val="21"/>
        </w:rPr>
        <w:t>T</w:t>
      </w:r>
      <w:r w:rsidR="00CD47CA" w:rsidRPr="0094561D">
        <w:rPr>
          <w:rFonts w:asciiTheme="minorHAnsi" w:hAnsiTheme="minorHAnsi" w:cstheme="minorHAnsi"/>
          <w:b/>
          <w:bCs/>
          <w:sz w:val="21"/>
          <w:szCs w:val="21"/>
        </w:rPr>
        <w:t xml:space="preserve">raded </w:t>
      </w:r>
      <w:r w:rsidRPr="0094561D">
        <w:rPr>
          <w:rFonts w:asciiTheme="minorHAnsi" w:hAnsiTheme="minorHAnsi" w:cstheme="minorHAnsi"/>
          <w:b/>
          <w:bCs/>
          <w:sz w:val="21"/>
          <w:szCs w:val="21"/>
        </w:rPr>
        <w:t>F</w:t>
      </w:r>
      <w:r w:rsidR="00CD47CA" w:rsidRPr="0094561D">
        <w:rPr>
          <w:rFonts w:asciiTheme="minorHAnsi" w:hAnsiTheme="minorHAnsi" w:cstheme="minorHAnsi"/>
          <w:b/>
          <w:bCs/>
          <w:sz w:val="21"/>
          <w:szCs w:val="21"/>
        </w:rPr>
        <w:t>unds (ETFs)</w:t>
      </w:r>
      <w:r w:rsidRPr="0094561D">
        <w:rPr>
          <w:rFonts w:asciiTheme="minorHAnsi" w:hAnsiTheme="minorHAnsi" w:cstheme="minorHAnsi"/>
          <w:b/>
          <w:bCs/>
          <w:sz w:val="21"/>
          <w:szCs w:val="21"/>
        </w:rPr>
        <w:t xml:space="preserve"> Risks</w:t>
      </w:r>
    </w:p>
    <w:p w14:paraId="72ED43A5" w14:textId="77777777" w:rsidR="00412143" w:rsidRDefault="00412143" w:rsidP="00412143">
      <w:pPr>
        <w:pStyle w:val="BodyText"/>
        <w:ind w:left="144"/>
        <w:jc w:val="both"/>
        <w:rPr>
          <w:rFonts w:asciiTheme="minorHAnsi" w:hAnsiTheme="minorHAnsi" w:cstheme="minorHAnsi"/>
          <w:sz w:val="21"/>
          <w:szCs w:val="21"/>
        </w:rPr>
      </w:pPr>
      <w:r w:rsidRPr="0094561D">
        <w:rPr>
          <w:rFonts w:asciiTheme="minorHAnsi" w:hAnsiTheme="minorHAnsi" w:cstheme="minorHAnsi"/>
          <w:sz w:val="21"/>
          <w:szCs w:val="21"/>
        </w:rPr>
        <w:t>The performance of ETFs is subject to market risk, including the possible loss of principal. The price of the ETFs will fluctuate with the price of the underlying securities that make up the funds. In addition, ETFs have a trading risk based on the loss of cost efficiency if the ETFs are traded actively and a liquidity risk if the ETFs have a large bid-ask spread and low trading volume. The price of an ETF fluctuates based upon the market movements and may dissociate from the index being tracked by the ETF or the price of the underlying investments. An ETF purchased or sold at one point in the day may have a different price than the same ETF purchased or sold a short time later.</w:t>
      </w:r>
    </w:p>
    <w:p w14:paraId="351CCA43" w14:textId="77777777" w:rsidR="00004BE7" w:rsidRDefault="00004BE7" w:rsidP="00412143">
      <w:pPr>
        <w:pStyle w:val="BodyText"/>
        <w:ind w:left="144"/>
        <w:jc w:val="both"/>
        <w:rPr>
          <w:rFonts w:asciiTheme="minorHAnsi" w:hAnsiTheme="minorHAnsi" w:cstheme="minorHAnsi"/>
          <w:sz w:val="21"/>
          <w:szCs w:val="21"/>
        </w:rPr>
      </w:pPr>
    </w:p>
    <w:p w14:paraId="75E70164" w14:textId="7A682044" w:rsidR="00412143" w:rsidRPr="0094561D" w:rsidRDefault="00412143" w:rsidP="00412143">
      <w:pPr>
        <w:pStyle w:val="BodyText"/>
        <w:ind w:left="144"/>
        <w:jc w:val="both"/>
        <w:rPr>
          <w:rFonts w:asciiTheme="minorHAnsi" w:hAnsiTheme="minorHAnsi" w:cstheme="minorHAnsi"/>
          <w:b/>
          <w:bCs/>
          <w:sz w:val="21"/>
          <w:szCs w:val="21"/>
        </w:rPr>
      </w:pPr>
      <w:r w:rsidRPr="0094561D">
        <w:rPr>
          <w:rFonts w:asciiTheme="minorHAnsi" w:hAnsiTheme="minorHAnsi" w:cstheme="minorHAnsi"/>
          <w:b/>
          <w:bCs/>
          <w:sz w:val="21"/>
          <w:szCs w:val="21"/>
        </w:rPr>
        <w:t>Bond ETFs</w:t>
      </w:r>
      <w:r w:rsidR="00CD47CA" w:rsidRPr="0094561D">
        <w:rPr>
          <w:rFonts w:asciiTheme="minorHAnsi" w:hAnsiTheme="minorHAnsi" w:cstheme="minorHAnsi"/>
          <w:b/>
          <w:bCs/>
          <w:sz w:val="21"/>
          <w:szCs w:val="21"/>
        </w:rPr>
        <w:t xml:space="preserve"> Risks</w:t>
      </w:r>
    </w:p>
    <w:p w14:paraId="3A2D545C" w14:textId="3D363CC7" w:rsidR="00412143" w:rsidRPr="0094561D" w:rsidRDefault="00412143" w:rsidP="00412143">
      <w:pPr>
        <w:pStyle w:val="BodyText"/>
        <w:ind w:left="144"/>
        <w:jc w:val="both"/>
        <w:rPr>
          <w:rFonts w:asciiTheme="minorHAnsi" w:hAnsiTheme="minorHAnsi" w:cstheme="minorHAnsi"/>
          <w:sz w:val="21"/>
          <w:szCs w:val="21"/>
        </w:rPr>
      </w:pPr>
      <w:r w:rsidRPr="0094561D">
        <w:rPr>
          <w:rFonts w:asciiTheme="minorHAnsi" w:hAnsiTheme="minorHAnsi" w:cstheme="minorHAnsi"/>
          <w:sz w:val="21"/>
          <w:szCs w:val="21"/>
        </w:rPr>
        <w:t>Bond ETFs are subject to specific risks, including the following: (1) interest rate risks, i.e.</w:t>
      </w:r>
      <w:r w:rsidR="00CD47CA" w:rsidRPr="0094561D">
        <w:rPr>
          <w:rFonts w:asciiTheme="minorHAnsi" w:hAnsiTheme="minorHAnsi" w:cstheme="minorHAnsi"/>
          <w:sz w:val="21"/>
          <w:szCs w:val="21"/>
        </w:rPr>
        <w:t>,</w:t>
      </w:r>
      <w:r w:rsidRPr="0094561D">
        <w:rPr>
          <w:rFonts w:asciiTheme="minorHAnsi" w:hAnsiTheme="minorHAnsi" w:cstheme="minorHAnsi"/>
          <w:sz w:val="21"/>
          <w:szCs w:val="21"/>
        </w:rPr>
        <w:t xml:space="preserve"> the risk that bond prices will fall if interest rates rise, and vice versa, the risk depends on two things, the bond's time to maturity, and the coupon rate of the bond. (2) reinvestment risk, i.e.</w:t>
      </w:r>
      <w:r w:rsidR="00CD47CA" w:rsidRPr="0094561D">
        <w:rPr>
          <w:rFonts w:asciiTheme="minorHAnsi" w:hAnsiTheme="minorHAnsi" w:cstheme="minorHAnsi"/>
          <w:sz w:val="21"/>
          <w:szCs w:val="21"/>
        </w:rPr>
        <w:t>,</w:t>
      </w:r>
      <w:r w:rsidRPr="0094561D">
        <w:rPr>
          <w:rFonts w:asciiTheme="minorHAnsi" w:hAnsiTheme="minorHAnsi" w:cstheme="minorHAnsi"/>
          <w:sz w:val="21"/>
          <w:szCs w:val="21"/>
        </w:rPr>
        <w:t xml:space="preserve"> the risk that any profit gained must be reinvested at a lower rate than was previously being earned, (3) inflation risk, i.e.</w:t>
      </w:r>
      <w:r w:rsidR="00CD47CA" w:rsidRPr="0094561D">
        <w:rPr>
          <w:rFonts w:asciiTheme="minorHAnsi" w:hAnsiTheme="minorHAnsi" w:cstheme="minorHAnsi"/>
          <w:sz w:val="21"/>
          <w:szCs w:val="21"/>
        </w:rPr>
        <w:t>,</w:t>
      </w:r>
      <w:r w:rsidRPr="0094561D">
        <w:rPr>
          <w:rFonts w:asciiTheme="minorHAnsi" w:hAnsiTheme="minorHAnsi" w:cstheme="minorHAnsi"/>
          <w:sz w:val="21"/>
          <w:szCs w:val="21"/>
        </w:rPr>
        <w:t xml:space="preserve"> the risk that the cost of living and inflation increase at a rate that exceeds the income investment thereby decreasing the investor’s rate of return, (4) credit default risk, i.e.</w:t>
      </w:r>
      <w:r w:rsidR="00CD47CA" w:rsidRPr="0094561D">
        <w:rPr>
          <w:rFonts w:asciiTheme="minorHAnsi" w:hAnsiTheme="minorHAnsi" w:cstheme="minorHAnsi"/>
          <w:sz w:val="21"/>
          <w:szCs w:val="21"/>
        </w:rPr>
        <w:t>,</w:t>
      </w:r>
      <w:r w:rsidRPr="0094561D">
        <w:rPr>
          <w:rFonts w:asciiTheme="minorHAnsi" w:hAnsiTheme="minorHAnsi" w:cstheme="minorHAnsi"/>
          <w:sz w:val="21"/>
          <w:szCs w:val="21"/>
        </w:rPr>
        <w:t xml:space="preserve"> the risk associated with purchasing a debt instrument which includes the possibility of the company defaulting on its repayment obligation, (5) rating downgrades, i.e.</w:t>
      </w:r>
      <w:r w:rsidR="00CD47CA" w:rsidRPr="0094561D">
        <w:rPr>
          <w:rFonts w:asciiTheme="minorHAnsi" w:hAnsiTheme="minorHAnsi" w:cstheme="minorHAnsi"/>
          <w:sz w:val="21"/>
          <w:szCs w:val="21"/>
        </w:rPr>
        <w:t>,</w:t>
      </w:r>
      <w:r w:rsidRPr="0094561D">
        <w:rPr>
          <w:rFonts w:asciiTheme="minorHAnsi" w:hAnsiTheme="minorHAnsi" w:cstheme="minorHAnsi"/>
          <w:sz w:val="21"/>
          <w:szCs w:val="21"/>
        </w:rPr>
        <w:t xml:space="preserve"> the risk associated with a rating agency’s downgrade of the company’s rating which impacts the investor’s confidence in the company’s ability to repay its debt and (6) Liquidity Risks, i.e.</w:t>
      </w:r>
      <w:r w:rsidR="00CD47CA" w:rsidRPr="0094561D">
        <w:rPr>
          <w:rFonts w:asciiTheme="minorHAnsi" w:hAnsiTheme="minorHAnsi" w:cstheme="minorHAnsi"/>
          <w:sz w:val="21"/>
          <w:szCs w:val="21"/>
        </w:rPr>
        <w:t>,</w:t>
      </w:r>
      <w:r w:rsidRPr="0094561D">
        <w:rPr>
          <w:rFonts w:asciiTheme="minorHAnsi" w:hAnsiTheme="minorHAnsi" w:cstheme="minorHAnsi"/>
          <w:sz w:val="21"/>
          <w:szCs w:val="21"/>
        </w:rPr>
        <w:t xml:space="preserve"> the risk that a bond may not be sold as quickly as there is no readily available market for the bond.</w:t>
      </w:r>
    </w:p>
    <w:p w14:paraId="780A3126" w14:textId="77777777" w:rsidR="00412143" w:rsidRPr="0094561D" w:rsidRDefault="00412143" w:rsidP="00412143">
      <w:pPr>
        <w:pStyle w:val="BodyText"/>
        <w:ind w:left="144"/>
        <w:jc w:val="both"/>
        <w:rPr>
          <w:rFonts w:asciiTheme="minorHAnsi" w:hAnsiTheme="minorHAnsi" w:cstheme="minorHAnsi"/>
          <w:sz w:val="21"/>
          <w:szCs w:val="21"/>
        </w:rPr>
      </w:pPr>
    </w:p>
    <w:p w14:paraId="3A0C75F1" w14:textId="77777777" w:rsidR="00412143" w:rsidRPr="0094561D" w:rsidRDefault="00412143" w:rsidP="00412143">
      <w:pPr>
        <w:pStyle w:val="BodyText"/>
        <w:ind w:left="144"/>
        <w:jc w:val="both"/>
        <w:rPr>
          <w:rFonts w:asciiTheme="minorHAnsi" w:hAnsiTheme="minorHAnsi" w:cstheme="minorHAnsi"/>
          <w:b/>
          <w:bCs/>
          <w:sz w:val="21"/>
          <w:szCs w:val="21"/>
        </w:rPr>
      </w:pPr>
      <w:r w:rsidRPr="0094561D">
        <w:rPr>
          <w:rFonts w:asciiTheme="minorHAnsi" w:hAnsiTheme="minorHAnsi" w:cstheme="minorHAnsi"/>
          <w:b/>
          <w:bCs/>
          <w:sz w:val="21"/>
          <w:szCs w:val="21"/>
        </w:rPr>
        <w:t>Mutual Fund Risks</w:t>
      </w:r>
    </w:p>
    <w:p w14:paraId="0B157133" w14:textId="69CF7A64" w:rsidR="00412143" w:rsidRPr="0094561D" w:rsidRDefault="00412143" w:rsidP="00412143">
      <w:pPr>
        <w:pStyle w:val="BodyText"/>
        <w:ind w:left="144"/>
        <w:jc w:val="both"/>
        <w:rPr>
          <w:rFonts w:asciiTheme="minorHAnsi" w:hAnsiTheme="minorHAnsi" w:cstheme="minorHAnsi"/>
          <w:sz w:val="21"/>
          <w:szCs w:val="21"/>
        </w:rPr>
      </w:pPr>
      <w:r w:rsidRPr="0094561D">
        <w:rPr>
          <w:rFonts w:asciiTheme="minorHAnsi" w:hAnsiTheme="minorHAnsi" w:cstheme="minorHAnsi"/>
          <w:sz w:val="21"/>
          <w:szCs w:val="21"/>
        </w:rPr>
        <w:t xml:space="preserve">The performance of </w:t>
      </w:r>
      <w:r w:rsidR="00CD47CA" w:rsidRPr="0094561D">
        <w:rPr>
          <w:rFonts w:asciiTheme="minorHAnsi" w:hAnsiTheme="minorHAnsi" w:cstheme="minorHAnsi"/>
          <w:sz w:val="21"/>
          <w:szCs w:val="21"/>
        </w:rPr>
        <w:t xml:space="preserve">a </w:t>
      </w:r>
      <w:r w:rsidRPr="0094561D">
        <w:rPr>
          <w:rFonts w:asciiTheme="minorHAnsi" w:hAnsiTheme="minorHAnsi" w:cstheme="minorHAnsi"/>
          <w:sz w:val="21"/>
          <w:szCs w:val="21"/>
        </w:rPr>
        <w:t>mutual fund is subject to market risk, including the possible loss of principal. The price of the mutual fund will fluctuate with the value of the underlying securities that make up the fund. The price of a mutual fund is typically set daily therefore a mutual fund purchased at one point in the day will typically have the same price as a mutual fund purchased later that same day.</w:t>
      </w:r>
    </w:p>
    <w:p w14:paraId="50A4726A" w14:textId="77777777" w:rsidR="00412143" w:rsidRPr="0094561D" w:rsidRDefault="00412143" w:rsidP="00412143">
      <w:pPr>
        <w:pStyle w:val="BodyText"/>
        <w:ind w:left="144"/>
        <w:jc w:val="both"/>
        <w:rPr>
          <w:rFonts w:asciiTheme="minorHAnsi" w:hAnsiTheme="minorHAnsi" w:cstheme="minorHAnsi"/>
          <w:sz w:val="21"/>
          <w:szCs w:val="21"/>
        </w:rPr>
      </w:pPr>
    </w:p>
    <w:p w14:paraId="0FA91D7D" w14:textId="5652CCC1" w:rsidR="00F14793" w:rsidRPr="0094561D" w:rsidRDefault="00412143" w:rsidP="00BC37B1">
      <w:pPr>
        <w:pStyle w:val="BodyText"/>
        <w:ind w:left="144"/>
        <w:jc w:val="both"/>
        <w:rPr>
          <w:rFonts w:asciiTheme="minorHAnsi" w:eastAsiaTheme="minorHAnsi" w:hAnsiTheme="minorHAnsi" w:cstheme="minorHAnsi"/>
          <w:sz w:val="21"/>
          <w:szCs w:val="21"/>
        </w:rPr>
      </w:pPr>
      <w:r w:rsidRPr="0094561D">
        <w:rPr>
          <w:rFonts w:asciiTheme="minorHAnsi" w:hAnsiTheme="minorHAnsi" w:cstheme="minorHAnsi"/>
          <w:b/>
          <w:bCs/>
          <w:sz w:val="21"/>
          <w:szCs w:val="21"/>
        </w:rPr>
        <w:t>Past performance is not a guarantee of future returns. Investing in securities and other investments involve a risk of loss that each Client should understand and be willing to bear. Customers are reminded to discuss these risks with your Financial Professional.</w:t>
      </w:r>
      <w:r w:rsidR="00BC37B1">
        <w:rPr>
          <w:rFonts w:asciiTheme="minorHAnsi" w:hAnsiTheme="minorHAnsi" w:cstheme="minorHAnsi"/>
          <w:b/>
          <w:bCs/>
          <w:sz w:val="21"/>
          <w:szCs w:val="21"/>
        </w:rPr>
        <w:t xml:space="preserve"> </w:t>
      </w:r>
      <w:r w:rsidR="00151284" w:rsidRPr="0094561D">
        <w:rPr>
          <w:rFonts w:asciiTheme="minorHAnsi" w:hAnsiTheme="minorHAnsi" w:cstheme="minorHAnsi"/>
          <w:sz w:val="21"/>
          <w:szCs w:val="21"/>
        </w:rPr>
        <w:t>Our recommendations are based in part on your investment objective</w:t>
      </w:r>
      <w:r w:rsidR="0076072D" w:rsidRPr="0094561D">
        <w:rPr>
          <w:rFonts w:asciiTheme="minorHAnsi" w:hAnsiTheme="minorHAnsi" w:cstheme="minorHAnsi"/>
          <w:sz w:val="21"/>
          <w:szCs w:val="21"/>
        </w:rPr>
        <w:t xml:space="preserve"> and risk tolerance,</w:t>
      </w:r>
      <w:r w:rsidR="00151284" w:rsidRPr="0094561D">
        <w:rPr>
          <w:rFonts w:asciiTheme="minorHAnsi" w:hAnsiTheme="minorHAnsi" w:cstheme="minorHAnsi"/>
          <w:sz w:val="21"/>
          <w:szCs w:val="21"/>
        </w:rPr>
        <w:t xml:space="preserve"> as outlined above. </w:t>
      </w:r>
      <w:r w:rsidR="0016368C" w:rsidRPr="0094561D">
        <w:rPr>
          <w:rFonts w:asciiTheme="minorHAnsi" w:hAnsiTheme="minorHAnsi" w:cstheme="minorHAnsi"/>
          <w:sz w:val="21"/>
          <w:szCs w:val="21"/>
        </w:rPr>
        <w:t xml:space="preserve">We encourage you to carefully consider </w:t>
      </w:r>
      <w:r w:rsidR="0076072D" w:rsidRPr="0094561D">
        <w:rPr>
          <w:rFonts w:asciiTheme="minorHAnsi" w:hAnsiTheme="minorHAnsi" w:cstheme="minorHAnsi"/>
          <w:sz w:val="21"/>
          <w:szCs w:val="21"/>
        </w:rPr>
        <w:t xml:space="preserve">and discuss </w:t>
      </w:r>
      <w:r w:rsidR="0016368C" w:rsidRPr="0094561D">
        <w:rPr>
          <w:rFonts w:asciiTheme="minorHAnsi" w:hAnsiTheme="minorHAnsi" w:cstheme="minorHAnsi"/>
          <w:sz w:val="21"/>
          <w:szCs w:val="21"/>
        </w:rPr>
        <w:t>your investment objective and risk tolerance</w:t>
      </w:r>
      <w:r w:rsidR="0076072D" w:rsidRPr="0094561D">
        <w:rPr>
          <w:rFonts w:asciiTheme="minorHAnsi" w:hAnsiTheme="minorHAnsi" w:cstheme="minorHAnsi"/>
          <w:sz w:val="21"/>
          <w:szCs w:val="21"/>
        </w:rPr>
        <w:t xml:space="preserve"> with your Financial Professional</w:t>
      </w:r>
      <w:r w:rsidR="0016368C" w:rsidRPr="0094561D">
        <w:rPr>
          <w:rFonts w:asciiTheme="minorHAnsi" w:hAnsiTheme="minorHAnsi" w:cstheme="minorHAnsi"/>
          <w:sz w:val="21"/>
          <w:szCs w:val="21"/>
        </w:rPr>
        <w:t xml:space="preserve"> before investing.</w:t>
      </w:r>
      <w:r w:rsidR="00151284" w:rsidRPr="0094561D">
        <w:rPr>
          <w:rFonts w:asciiTheme="minorHAnsi" w:hAnsiTheme="minorHAnsi" w:cstheme="minorHAnsi"/>
          <w:sz w:val="21"/>
          <w:szCs w:val="21"/>
        </w:rPr>
        <w:t xml:space="preserve"> </w:t>
      </w:r>
    </w:p>
    <w:p w14:paraId="65DD0239" w14:textId="77777777" w:rsidR="00823336" w:rsidRPr="0094561D" w:rsidRDefault="00823336" w:rsidP="00766B05">
      <w:pPr>
        <w:pStyle w:val="Default0"/>
        <w:ind w:firstLine="90"/>
        <w:jc w:val="both"/>
        <w:rPr>
          <w:rFonts w:asciiTheme="minorHAnsi" w:eastAsia="Arial" w:hAnsiTheme="minorHAnsi" w:cstheme="minorHAnsi"/>
          <w:b/>
          <w:bCs/>
          <w:color w:val="auto"/>
          <w:sz w:val="21"/>
          <w:szCs w:val="21"/>
        </w:rPr>
      </w:pPr>
    </w:p>
    <w:p w14:paraId="6AAB3F4A" w14:textId="77777777" w:rsidR="00F801CC" w:rsidRPr="0094561D" w:rsidRDefault="00075106" w:rsidP="00766B05">
      <w:pPr>
        <w:pStyle w:val="Default0"/>
        <w:ind w:firstLine="90"/>
        <w:jc w:val="both"/>
        <w:rPr>
          <w:rFonts w:asciiTheme="minorHAnsi" w:eastAsia="Arial" w:hAnsiTheme="minorHAnsi" w:cstheme="minorHAnsi"/>
          <w:b/>
          <w:bCs/>
          <w:color w:val="auto"/>
          <w:sz w:val="21"/>
          <w:szCs w:val="21"/>
        </w:rPr>
      </w:pPr>
      <w:r w:rsidRPr="0094561D">
        <w:rPr>
          <w:rFonts w:asciiTheme="minorHAnsi" w:eastAsia="Arial" w:hAnsiTheme="minorHAnsi" w:cstheme="minorHAnsi"/>
          <w:b/>
          <w:bCs/>
          <w:color w:val="auto"/>
          <w:sz w:val="21"/>
          <w:szCs w:val="21"/>
        </w:rPr>
        <w:t>Cas</w:t>
      </w:r>
      <w:r w:rsidR="00F801CC" w:rsidRPr="0094561D">
        <w:rPr>
          <w:rFonts w:asciiTheme="minorHAnsi" w:eastAsia="Arial" w:hAnsiTheme="minorHAnsi" w:cstheme="minorHAnsi"/>
          <w:b/>
          <w:bCs/>
          <w:color w:val="auto"/>
          <w:sz w:val="21"/>
          <w:szCs w:val="21"/>
        </w:rPr>
        <w:t>h Sweep Program Feature</w:t>
      </w:r>
    </w:p>
    <w:p w14:paraId="46A7DA04" w14:textId="0613D166" w:rsidR="007C2CD6" w:rsidRPr="0094561D" w:rsidRDefault="00605CF7" w:rsidP="00766B05">
      <w:pPr>
        <w:widowControl/>
        <w:adjustRightInd w:val="0"/>
        <w:ind w:left="90"/>
        <w:jc w:val="both"/>
        <w:rPr>
          <w:rFonts w:asciiTheme="minorHAnsi" w:hAnsiTheme="minorHAnsi" w:cstheme="minorHAnsi"/>
          <w:bCs/>
          <w:sz w:val="21"/>
          <w:szCs w:val="21"/>
        </w:rPr>
      </w:pPr>
      <w:r w:rsidRPr="0094561D">
        <w:rPr>
          <w:rFonts w:asciiTheme="minorHAnsi" w:hAnsiTheme="minorHAnsi" w:cstheme="minorHAnsi"/>
          <w:bCs/>
          <w:sz w:val="21"/>
          <w:szCs w:val="21"/>
        </w:rPr>
        <w:t xml:space="preserve">Our brokerage services include a Cash Sweep Program feature. </w:t>
      </w:r>
      <w:r w:rsidR="00075106" w:rsidRPr="0094561D">
        <w:rPr>
          <w:rFonts w:asciiTheme="minorHAnsi" w:hAnsiTheme="minorHAnsi" w:cstheme="minorHAnsi"/>
          <w:bCs/>
          <w:sz w:val="21"/>
          <w:szCs w:val="21"/>
        </w:rPr>
        <w:t xml:space="preserve">This program </w:t>
      </w:r>
      <w:r w:rsidR="00F801CC" w:rsidRPr="0094561D">
        <w:rPr>
          <w:rFonts w:asciiTheme="minorHAnsi" w:hAnsiTheme="minorHAnsi" w:cstheme="minorHAnsi"/>
          <w:bCs/>
          <w:sz w:val="21"/>
          <w:szCs w:val="21"/>
        </w:rPr>
        <w:t>permits</w:t>
      </w:r>
      <w:r w:rsidR="00075106" w:rsidRPr="0094561D">
        <w:rPr>
          <w:rFonts w:asciiTheme="minorHAnsi" w:hAnsiTheme="minorHAnsi" w:cstheme="minorHAnsi"/>
          <w:bCs/>
          <w:sz w:val="21"/>
          <w:szCs w:val="21"/>
        </w:rPr>
        <w:t xml:space="preserve"> you to earn a return on uninvested cash balances</w:t>
      </w:r>
      <w:r w:rsidR="00053B2E" w:rsidRPr="0094561D">
        <w:rPr>
          <w:rFonts w:asciiTheme="minorHAnsi" w:hAnsiTheme="minorHAnsi" w:cstheme="minorHAnsi"/>
          <w:bCs/>
          <w:sz w:val="21"/>
          <w:szCs w:val="21"/>
        </w:rPr>
        <w:t xml:space="preserve"> in your brokerage account</w:t>
      </w:r>
      <w:r w:rsidR="00075106" w:rsidRPr="0094561D">
        <w:rPr>
          <w:rFonts w:asciiTheme="minorHAnsi" w:hAnsiTheme="minorHAnsi" w:cstheme="minorHAnsi"/>
          <w:bCs/>
          <w:sz w:val="21"/>
          <w:szCs w:val="21"/>
        </w:rPr>
        <w:t xml:space="preserve"> by</w:t>
      </w:r>
      <w:r w:rsidR="007C2CD6" w:rsidRPr="0094561D">
        <w:rPr>
          <w:rFonts w:asciiTheme="minorHAnsi" w:hAnsiTheme="minorHAnsi" w:cstheme="minorHAnsi"/>
          <w:bCs/>
          <w:sz w:val="21"/>
          <w:szCs w:val="21"/>
        </w:rPr>
        <w:t xml:space="preserve"> allowing </w:t>
      </w:r>
      <w:r w:rsidR="00654C56" w:rsidRPr="0094561D">
        <w:rPr>
          <w:rFonts w:asciiTheme="minorHAnsi" w:hAnsiTheme="minorHAnsi" w:cstheme="minorHAnsi"/>
          <w:bCs/>
          <w:sz w:val="21"/>
          <w:szCs w:val="21"/>
        </w:rPr>
        <w:t xml:space="preserve">cash balances </w:t>
      </w:r>
      <w:r w:rsidR="007C2CD6" w:rsidRPr="0094561D">
        <w:rPr>
          <w:rFonts w:asciiTheme="minorHAnsi" w:hAnsiTheme="minorHAnsi" w:cstheme="minorHAnsi"/>
          <w:bCs/>
          <w:sz w:val="21"/>
          <w:szCs w:val="21"/>
        </w:rPr>
        <w:t>to</w:t>
      </w:r>
      <w:r w:rsidR="00075106" w:rsidRPr="0094561D">
        <w:rPr>
          <w:rFonts w:asciiTheme="minorHAnsi" w:hAnsiTheme="minorHAnsi" w:cstheme="minorHAnsi"/>
          <w:bCs/>
          <w:sz w:val="21"/>
          <w:szCs w:val="21"/>
        </w:rPr>
        <w:t xml:space="preserve"> </w:t>
      </w:r>
      <w:r w:rsidR="00654C56" w:rsidRPr="0094561D">
        <w:rPr>
          <w:rFonts w:asciiTheme="minorHAnsi" w:hAnsiTheme="minorHAnsi" w:cstheme="minorHAnsi"/>
          <w:bCs/>
          <w:sz w:val="21"/>
          <w:szCs w:val="21"/>
        </w:rPr>
        <w:t xml:space="preserve">be </w:t>
      </w:r>
      <w:r w:rsidR="00075106" w:rsidRPr="0094561D">
        <w:rPr>
          <w:rFonts w:asciiTheme="minorHAnsi" w:hAnsiTheme="minorHAnsi" w:cstheme="minorHAnsi"/>
          <w:bCs/>
          <w:sz w:val="21"/>
          <w:szCs w:val="21"/>
        </w:rPr>
        <w:t>automatically “swep</w:t>
      </w:r>
      <w:r w:rsidR="00166AB0" w:rsidRPr="0094561D">
        <w:rPr>
          <w:rFonts w:asciiTheme="minorHAnsi" w:hAnsiTheme="minorHAnsi" w:cstheme="minorHAnsi"/>
          <w:bCs/>
          <w:sz w:val="21"/>
          <w:szCs w:val="21"/>
        </w:rPr>
        <w:t>t</w:t>
      </w:r>
      <w:r w:rsidR="00075106" w:rsidRPr="0094561D">
        <w:rPr>
          <w:rFonts w:asciiTheme="minorHAnsi" w:hAnsiTheme="minorHAnsi" w:cstheme="minorHAnsi"/>
          <w:bCs/>
          <w:sz w:val="21"/>
          <w:szCs w:val="21"/>
        </w:rPr>
        <w:t>” into a “</w:t>
      </w:r>
      <w:r w:rsidR="00F801CC" w:rsidRPr="0094561D">
        <w:rPr>
          <w:rFonts w:asciiTheme="minorHAnsi" w:hAnsiTheme="minorHAnsi" w:cstheme="minorHAnsi"/>
          <w:bCs/>
          <w:sz w:val="21"/>
          <w:szCs w:val="21"/>
        </w:rPr>
        <w:t xml:space="preserve">Cash </w:t>
      </w:r>
      <w:r w:rsidR="0093795A" w:rsidRPr="0094561D">
        <w:rPr>
          <w:rFonts w:asciiTheme="minorHAnsi" w:hAnsiTheme="minorHAnsi" w:cstheme="minorHAnsi"/>
          <w:bCs/>
          <w:sz w:val="21"/>
          <w:szCs w:val="21"/>
        </w:rPr>
        <w:t>S</w:t>
      </w:r>
      <w:r w:rsidR="00075106" w:rsidRPr="0094561D">
        <w:rPr>
          <w:rFonts w:asciiTheme="minorHAnsi" w:hAnsiTheme="minorHAnsi" w:cstheme="minorHAnsi"/>
          <w:bCs/>
          <w:sz w:val="21"/>
          <w:szCs w:val="21"/>
        </w:rPr>
        <w:t xml:space="preserve">weep </w:t>
      </w:r>
      <w:r w:rsidR="0093795A" w:rsidRPr="0094561D">
        <w:rPr>
          <w:rFonts w:asciiTheme="minorHAnsi" w:hAnsiTheme="minorHAnsi" w:cstheme="minorHAnsi"/>
          <w:bCs/>
          <w:sz w:val="21"/>
          <w:szCs w:val="21"/>
        </w:rPr>
        <w:t>V</w:t>
      </w:r>
      <w:r w:rsidR="00075106" w:rsidRPr="0094561D">
        <w:rPr>
          <w:rFonts w:asciiTheme="minorHAnsi" w:hAnsiTheme="minorHAnsi" w:cstheme="minorHAnsi"/>
          <w:bCs/>
          <w:sz w:val="21"/>
          <w:szCs w:val="21"/>
        </w:rPr>
        <w:t>ehicle</w:t>
      </w:r>
      <w:r w:rsidR="007C385F" w:rsidRPr="0094561D">
        <w:rPr>
          <w:rFonts w:asciiTheme="minorHAnsi" w:hAnsiTheme="minorHAnsi" w:cstheme="minorHAnsi"/>
          <w:bCs/>
          <w:sz w:val="21"/>
          <w:szCs w:val="21"/>
        </w:rPr>
        <w:t>,</w:t>
      </w:r>
      <w:r w:rsidR="0093795A" w:rsidRPr="0094561D">
        <w:rPr>
          <w:rFonts w:asciiTheme="minorHAnsi" w:hAnsiTheme="minorHAnsi" w:cstheme="minorHAnsi"/>
          <w:bCs/>
          <w:sz w:val="21"/>
          <w:szCs w:val="21"/>
        </w:rPr>
        <w:t>”</w:t>
      </w:r>
      <w:r w:rsidR="00075106" w:rsidRPr="0094561D">
        <w:rPr>
          <w:rFonts w:asciiTheme="minorHAnsi" w:hAnsiTheme="minorHAnsi" w:cstheme="minorHAnsi"/>
          <w:bCs/>
          <w:sz w:val="21"/>
          <w:szCs w:val="21"/>
        </w:rPr>
        <w:t xml:space="preserve"> until such balances are otherwise </w:t>
      </w:r>
      <w:r w:rsidR="00823336" w:rsidRPr="0094561D">
        <w:rPr>
          <w:rFonts w:asciiTheme="minorHAnsi" w:hAnsiTheme="minorHAnsi" w:cstheme="minorHAnsi"/>
          <w:bCs/>
          <w:sz w:val="21"/>
          <w:szCs w:val="21"/>
        </w:rPr>
        <w:t>required</w:t>
      </w:r>
      <w:r w:rsidR="00075106" w:rsidRPr="0094561D">
        <w:rPr>
          <w:rFonts w:asciiTheme="minorHAnsi" w:hAnsiTheme="minorHAnsi" w:cstheme="minorHAnsi"/>
          <w:bCs/>
          <w:sz w:val="21"/>
          <w:szCs w:val="21"/>
        </w:rPr>
        <w:t xml:space="preserve"> to satisfy obligations arising in your account. These Cash Sweep Vehicles </w:t>
      </w:r>
      <w:r w:rsidRPr="0094561D">
        <w:rPr>
          <w:rFonts w:asciiTheme="minorHAnsi" w:hAnsiTheme="minorHAnsi" w:cstheme="minorHAnsi"/>
          <w:bCs/>
          <w:sz w:val="21"/>
          <w:szCs w:val="21"/>
        </w:rPr>
        <w:t>include</w:t>
      </w:r>
      <w:r w:rsidR="007C2CD6" w:rsidRPr="0094561D">
        <w:rPr>
          <w:rFonts w:asciiTheme="minorHAnsi" w:hAnsiTheme="minorHAnsi" w:cstheme="minorHAnsi"/>
          <w:bCs/>
          <w:sz w:val="21"/>
          <w:szCs w:val="21"/>
        </w:rPr>
        <w:t xml:space="preserve"> interest-bearing deposit account</w:t>
      </w:r>
      <w:r w:rsidR="0093795A" w:rsidRPr="0094561D">
        <w:rPr>
          <w:rFonts w:asciiTheme="minorHAnsi" w:hAnsiTheme="minorHAnsi" w:cstheme="minorHAnsi"/>
          <w:bCs/>
          <w:sz w:val="21"/>
          <w:szCs w:val="21"/>
        </w:rPr>
        <w:t>s</w:t>
      </w:r>
      <w:r w:rsidR="007C2CD6" w:rsidRPr="0094561D">
        <w:rPr>
          <w:rFonts w:asciiTheme="minorHAnsi" w:hAnsiTheme="minorHAnsi" w:cstheme="minorHAnsi"/>
          <w:bCs/>
          <w:sz w:val="21"/>
          <w:szCs w:val="21"/>
        </w:rPr>
        <w:t xml:space="preserve">, </w:t>
      </w:r>
      <w:r w:rsidR="00025899" w:rsidRPr="0094561D">
        <w:rPr>
          <w:rFonts w:asciiTheme="minorHAnsi" w:hAnsiTheme="minorHAnsi" w:cstheme="minorHAnsi"/>
          <w:bCs/>
          <w:sz w:val="21"/>
          <w:szCs w:val="21"/>
        </w:rPr>
        <w:t>and</w:t>
      </w:r>
      <w:r w:rsidR="007C2CD6" w:rsidRPr="0094561D">
        <w:rPr>
          <w:rFonts w:asciiTheme="minorHAnsi" w:hAnsiTheme="minorHAnsi" w:cstheme="minorHAnsi"/>
          <w:bCs/>
          <w:sz w:val="21"/>
          <w:szCs w:val="21"/>
        </w:rPr>
        <w:t xml:space="preserve"> if </w:t>
      </w:r>
      <w:r w:rsidR="00F801CC" w:rsidRPr="0094561D">
        <w:rPr>
          <w:rFonts w:asciiTheme="minorHAnsi" w:hAnsiTheme="minorHAnsi" w:cstheme="minorHAnsi"/>
          <w:bCs/>
          <w:sz w:val="21"/>
          <w:szCs w:val="21"/>
        </w:rPr>
        <w:t>permissible</w:t>
      </w:r>
      <w:r w:rsidR="007C2CD6" w:rsidRPr="0094561D">
        <w:rPr>
          <w:rFonts w:asciiTheme="minorHAnsi" w:hAnsiTheme="minorHAnsi" w:cstheme="minorHAnsi"/>
          <w:bCs/>
          <w:sz w:val="21"/>
          <w:szCs w:val="21"/>
        </w:rPr>
        <w:t xml:space="preserve">, money market mutual funds or such other sweep arrangements </w:t>
      </w:r>
      <w:r w:rsidR="007C385F" w:rsidRPr="0094561D">
        <w:rPr>
          <w:rFonts w:asciiTheme="minorHAnsi" w:hAnsiTheme="minorHAnsi" w:cstheme="minorHAnsi"/>
          <w:bCs/>
          <w:sz w:val="21"/>
          <w:szCs w:val="21"/>
        </w:rPr>
        <w:t>ma</w:t>
      </w:r>
      <w:r w:rsidR="00166AB0" w:rsidRPr="0094561D">
        <w:rPr>
          <w:rFonts w:asciiTheme="minorHAnsi" w:hAnsiTheme="minorHAnsi" w:cstheme="minorHAnsi"/>
          <w:bCs/>
          <w:sz w:val="21"/>
          <w:szCs w:val="21"/>
        </w:rPr>
        <w:t>d</w:t>
      </w:r>
      <w:r w:rsidR="007C385F" w:rsidRPr="0094561D">
        <w:rPr>
          <w:rFonts w:asciiTheme="minorHAnsi" w:hAnsiTheme="minorHAnsi" w:cstheme="minorHAnsi"/>
          <w:bCs/>
          <w:sz w:val="21"/>
          <w:szCs w:val="21"/>
        </w:rPr>
        <w:t>e available to you.</w:t>
      </w:r>
      <w:r w:rsidR="007C2CD6" w:rsidRPr="0094561D">
        <w:rPr>
          <w:rFonts w:asciiTheme="minorHAnsi" w:hAnsiTheme="minorHAnsi" w:cstheme="minorHAnsi"/>
          <w:bCs/>
          <w:sz w:val="21"/>
          <w:szCs w:val="21"/>
        </w:rPr>
        <w:t xml:space="preserve"> You will receive additional information concerning the Cash Sweep Program in your account agreement(s). </w:t>
      </w:r>
      <w:r w:rsidR="00166AB0" w:rsidRPr="0094561D">
        <w:rPr>
          <w:rFonts w:asciiTheme="minorHAnsi" w:hAnsiTheme="minorHAnsi" w:cstheme="minorHAnsi"/>
          <w:bCs/>
          <w:sz w:val="21"/>
          <w:szCs w:val="21"/>
        </w:rPr>
        <w:t>M</w:t>
      </w:r>
      <w:r w:rsidR="007C2CD6" w:rsidRPr="0094561D">
        <w:rPr>
          <w:rFonts w:asciiTheme="minorHAnsi" w:hAnsiTheme="minorHAnsi" w:cstheme="minorHAnsi"/>
          <w:bCs/>
          <w:sz w:val="21"/>
          <w:szCs w:val="21"/>
        </w:rPr>
        <w:t xml:space="preserve">ore </w:t>
      </w:r>
      <w:r w:rsidR="00166AB0" w:rsidRPr="0094561D">
        <w:rPr>
          <w:rFonts w:asciiTheme="minorHAnsi" w:hAnsiTheme="minorHAnsi" w:cstheme="minorHAnsi"/>
          <w:bCs/>
          <w:sz w:val="21"/>
          <w:szCs w:val="21"/>
        </w:rPr>
        <w:t xml:space="preserve">information </w:t>
      </w:r>
      <w:r w:rsidR="007C2CD6" w:rsidRPr="0094561D">
        <w:rPr>
          <w:rFonts w:asciiTheme="minorHAnsi" w:hAnsiTheme="minorHAnsi" w:cstheme="minorHAnsi"/>
          <w:bCs/>
          <w:sz w:val="21"/>
          <w:szCs w:val="21"/>
        </w:rPr>
        <w:t xml:space="preserve">about </w:t>
      </w:r>
      <w:r w:rsidR="00166AB0" w:rsidRPr="0094561D">
        <w:rPr>
          <w:rFonts w:asciiTheme="minorHAnsi" w:hAnsiTheme="minorHAnsi" w:cstheme="minorHAnsi"/>
          <w:bCs/>
          <w:sz w:val="21"/>
          <w:szCs w:val="21"/>
        </w:rPr>
        <w:t xml:space="preserve">the </w:t>
      </w:r>
      <w:r w:rsidR="007C2CD6" w:rsidRPr="0094561D">
        <w:rPr>
          <w:rFonts w:asciiTheme="minorHAnsi" w:hAnsiTheme="minorHAnsi" w:cstheme="minorHAnsi"/>
          <w:bCs/>
          <w:sz w:val="21"/>
          <w:szCs w:val="21"/>
        </w:rPr>
        <w:t xml:space="preserve">Cash Sweep Program </w:t>
      </w:r>
      <w:r w:rsidR="00166AB0" w:rsidRPr="0094561D">
        <w:rPr>
          <w:rFonts w:asciiTheme="minorHAnsi" w:hAnsiTheme="minorHAnsi" w:cstheme="minorHAnsi"/>
          <w:bCs/>
          <w:sz w:val="21"/>
          <w:szCs w:val="21"/>
        </w:rPr>
        <w:t>can be found in the</w:t>
      </w:r>
      <w:r w:rsidR="007C2CD6" w:rsidRPr="0094561D">
        <w:rPr>
          <w:rFonts w:asciiTheme="minorHAnsi" w:hAnsiTheme="minorHAnsi" w:cstheme="minorHAnsi"/>
          <w:bCs/>
          <w:sz w:val="21"/>
          <w:szCs w:val="21"/>
        </w:rPr>
        <w:t xml:space="preserve"> </w:t>
      </w:r>
      <w:commentRangeStart w:id="6"/>
      <w:r w:rsidR="00FA0278">
        <w:rPr>
          <w:rFonts w:asciiTheme="minorHAnsi" w:hAnsiTheme="minorHAnsi" w:cstheme="minorHAnsi"/>
          <w:b/>
          <w:sz w:val="21"/>
          <w:szCs w:val="21"/>
        </w:rPr>
        <w:t>Revenue Sharing</w:t>
      </w:r>
      <w:r w:rsidR="00B327E8" w:rsidRPr="0094561D">
        <w:rPr>
          <w:rFonts w:asciiTheme="minorHAnsi" w:hAnsiTheme="minorHAnsi" w:cstheme="minorHAnsi"/>
          <w:b/>
          <w:sz w:val="21"/>
          <w:szCs w:val="21"/>
        </w:rPr>
        <w:t xml:space="preserve"> Disclosure Statement</w:t>
      </w:r>
      <w:r w:rsidR="007C2CD6" w:rsidRPr="0094561D">
        <w:rPr>
          <w:rFonts w:asciiTheme="minorHAnsi" w:hAnsiTheme="minorHAnsi" w:cstheme="minorHAnsi"/>
          <w:bCs/>
          <w:sz w:val="21"/>
          <w:szCs w:val="21"/>
        </w:rPr>
        <w:t xml:space="preserve"> available at </w:t>
      </w:r>
      <w:hyperlink r:id="rId11" w:history="1">
        <w:r w:rsidR="009F0E13" w:rsidRPr="0038146C">
          <w:rPr>
            <w:rStyle w:val="Hyperlink"/>
            <w:rFonts w:asciiTheme="minorHAnsi" w:hAnsiTheme="minorHAnsi" w:cstheme="minorHAnsi"/>
          </w:rPr>
          <w:t>http://www.tigress.com/tigress/index.cfm/our-services/disclosures</w:t>
        </w:r>
        <w:r w:rsidR="009F0E13" w:rsidRPr="0038146C">
          <w:rPr>
            <w:rStyle w:val="Hyperlink"/>
          </w:rPr>
          <w:t>/</w:t>
        </w:r>
      </w:hyperlink>
      <w:r w:rsidR="0076072D" w:rsidRPr="0094561D">
        <w:rPr>
          <w:rFonts w:asciiTheme="minorHAnsi" w:hAnsiTheme="minorHAnsi" w:cstheme="minorHAnsi"/>
          <w:bCs/>
          <w:sz w:val="21"/>
          <w:szCs w:val="21"/>
        </w:rPr>
        <w:t>.</w:t>
      </w:r>
      <w:r w:rsidR="00166AB0" w:rsidRPr="0094561D">
        <w:rPr>
          <w:rFonts w:asciiTheme="minorHAnsi" w:hAnsiTheme="minorHAnsi" w:cstheme="minorHAnsi"/>
          <w:bCs/>
          <w:sz w:val="21"/>
          <w:szCs w:val="21"/>
        </w:rPr>
        <w:t xml:space="preserve">  </w:t>
      </w:r>
      <w:commentRangeEnd w:id="6"/>
      <w:r w:rsidR="00811BAB">
        <w:rPr>
          <w:rStyle w:val="CommentReference"/>
        </w:rPr>
        <w:commentReference w:id="6"/>
      </w:r>
    </w:p>
    <w:p w14:paraId="4A1D1393" w14:textId="77777777" w:rsidR="005F0AE0" w:rsidRDefault="005F0AE0" w:rsidP="003D76F2">
      <w:pPr>
        <w:pStyle w:val="Default0"/>
        <w:ind w:firstLine="90"/>
        <w:rPr>
          <w:rFonts w:asciiTheme="minorHAnsi" w:eastAsia="Arial" w:hAnsiTheme="minorHAnsi" w:cstheme="minorHAnsi"/>
          <w:b/>
          <w:bCs/>
          <w:color w:val="auto"/>
          <w:sz w:val="21"/>
          <w:szCs w:val="21"/>
        </w:rPr>
      </w:pPr>
    </w:p>
    <w:p w14:paraId="7A0B1CF1" w14:textId="4121D60A" w:rsidR="00695E5A" w:rsidRPr="0094561D" w:rsidRDefault="00695E5A" w:rsidP="003D76F2">
      <w:pPr>
        <w:pStyle w:val="Default0"/>
        <w:ind w:firstLine="90"/>
        <w:rPr>
          <w:rFonts w:asciiTheme="minorHAnsi" w:eastAsia="Arial" w:hAnsiTheme="minorHAnsi" w:cstheme="minorHAnsi"/>
          <w:bCs/>
          <w:color w:val="auto"/>
          <w:sz w:val="21"/>
          <w:szCs w:val="21"/>
        </w:rPr>
      </w:pPr>
      <w:r w:rsidRPr="0094561D">
        <w:rPr>
          <w:rFonts w:asciiTheme="minorHAnsi" w:eastAsia="Arial" w:hAnsiTheme="minorHAnsi" w:cstheme="minorHAnsi"/>
          <w:b/>
          <w:bCs/>
          <w:color w:val="auto"/>
          <w:sz w:val="21"/>
          <w:szCs w:val="21"/>
        </w:rPr>
        <w:t>Account Minimums and Activity Requirements</w:t>
      </w:r>
    </w:p>
    <w:p w14:paraId="17623740" w14:textId="77777777" w:rsidR="003E1587" w:rsidRPr="0094561D" w:rsidRDefault="00695E5A" w:rsidP="00766B05">
      <w:pPr>
        <w:pStyle w:val="Default0"/>
        <w:ind w:left="90"/>
        <w:jc w:val="both"/>
        <w:rPr>
          <w:rFonts w:asciiTheme="minorHAnsi" w:eastAsia="Arial" w:hAnsiTheme="minorHAnsi" w:cstheme="minorHAnsi"/>
          <w:bCs/>
          <w:color w:val="auto"/>
          <w:sz w:val="21"/>
          <w:szCs w:val="21"/>
        </w:rPr>
      </w:pPr>
      <w:r w:rsidRPr="0094561D">
        <w:rPr>
          <w:rFonts w:asciiTheme="minorHAnsi" w:eastAsia="Arial" w:hAnsiTheme="minorHAnsi" w:cstheme="minorHAnsi"/>
          <w:bCs/>
          <w:color w:val="auto"/>
          <w:sz w:val="21"/>
          <w:szCs w:val="21"/>
        </w:rPr>
        <w:t xml:space="preserve">There is no minimum initial account balance required to </w:t>
      </w:r>
      <w:r w:rsidR="003D3171" w:rsidRPr="0094561D">
        <w:rPr>
          <w:rFonts w:asciiTheme="minorHAnsi" w:eastAsia="Arial" w:hAnsiTheme="minorHAnsi" w:cstheme="minorHAnsi"/>
          <w:bCs/>
          <w:color w:val="auto"/>
          <w:sz w:val="21"/>
          <w:szCs w:val="21"/>
        </w:rPr>
        <w:t>open</w:t>
      </w:r>
      <w:r w:rsidRPr="0094561D">
        <w:rPr>
          <w:rFonts w:asciiTheme="minorHAnsi" w:eastAsia="Arial" w:hAnsiTheme="minorHAnsi" w:cstheme="minorHAnsi"/>
          <w:bCs/>
          <w:color w:val="auto"/>
          <w:sz w:val="21"/>
          <w:szCs w:val="21"/>
        </w:rPr>
        <w:t xml:space="preserve"> </w:t>
      </w:r>
      <w:r w:rsidR="003D3171" w:rsidRPr="0094561D">
        <w:rPr>
          <w:rFonts w:asciiTheme="minorHAnsi" w:eastAsia="Arial" w:hAnsiTheme="minorHAnsi" w:cstheme="minorHAnsi"/>
          <w:bCs/>
          <w:color w:val="auto"/>
          <w:sz w:val="21"/>
          <w:szCs w:val="21"/>
        </w:rPr>
        <w:t>a</w:t>
      </w:r>
      <w:r w:rsidRPr="0094561D">
        <w:rPr>
          <w:rFonts w:asciiTheme="minorHAnsi" w:eastAsia="Arial" w:hAnsiTheme="minorHAnsi" w:cstheme="minorHAnsi"/>
          <w:bCs/>
          <w:color w:val="auto"/>
          <w:sz w:val="21"/>
          <w:szCs w:val="21"/>
        </w:rPr>
        <w:t xml:space="preserve"> brokerage account</w:t>
      </w:r>
      <w:r w:rsidR="003D3171" w:rsidRPr="0094561D">
        <w:rPr>
          <w:rFonts w:asciiTheme="minorHAnsi" w:eastAsia="Arial" w:hAnsiTheme="minorHAnsi" w:cstheme="minorHAnsi"/>
          <w:bCs/>
          <w:color w:val="auto"/>
          <w:sz w:val="21"/>
          <w:szCs w:val="21"/>
        </w:rPr>
        <w:t xml:space="preserve"> with us</w:t>
      </w:r>
      <w:r w:rsidR="00151284" w:rsidRPr="0094561D">
        <w:rPr>
          <w:rFonts w:asciiTheme="minorHAnsi" w:eastAsia="Arial" w:hAnsiTheme="minorHAnsi" w:cstheme="minorHAnsi"/>
          <w:bCs/>
          <w:color w:val="auto"/>
          <w:sz w:val="21"/>
          <w:szCs w:val="21"/>
        </w:rPr>
        <w:t>. H</w:t>
      </w:r>
      <w:r w:rsidRPr="0094561D">
        <w:rPr>
          <w:rFonts w:asciiTheme="minorHAnsi" w:eastAsia="Arial" w:hAnsiTheme="minorHAnsi" w:cstheme="minorHAnsi"/>
          <w:bCs/>
          <w:color w:val="auto"/>
          <w:sz w:val="21"/>
          <w:szCs w:val="21"/>
        </w:rPr>
        <w:t xml:space="preserve">owever, if you either fail to fund your account or do not return account opening documents as required, your account will be closed. </w:t>
      </w:r>
      <w:r w:rsidR="00025899" w:rsidRPr="0094561D">
        <w:rPr>
          <w:rFonts w:asciiTheme="minorHAnsi" w:eastAsia="Arial" w:hAnsiTheme="minorHAnsi" w:cstheme="minorHAnsi"/>
          <w:bCs/>
          <w:color w:val="auto"/>
          <w:sz w:val="21"/>
          <w:szCs w:val="21"/>
        </w:rPr>
        <w:t>In addition,</w:t>
      </w:r>
      <w:r w:rsidRPr="0094561D">
        <w:rPr>
          <w:rFonts w:asciiTheme="minorHAnsi" w:eastAsia="Arial" w:hAnsiTheme="minorHAnsi" w:cstheme="minorHAnsi"/>
          <w:bCs/>
          <w:color w:val="auto"/>
          <w:sz w:val="21"/>
          <w:szCs w:val="21"/>
        </w:rPr>
        <w:t xml:space="preserve"> some</w:t>
      </w:r>
      <w:r w:rsidR="00151284" w:rsidRPr="0094561D">
        <w:rPr>
          <w:rFonts w:asciiTheme="minorHAnsi" w:eastAsia="Arial" w:hAnsiTheme="minorHAnsi" w:cstheme="minorHAnsi"/>
          <w:bCs/>
          <w:color w:val="auto"/>
          <w:sz w:val="21"/>
          <w:szCs w:val="21"/>
        </w:rPr>
        <w:t xml:space="preserve"> types of brokerage</w:t>
      </w:r>
      <w:r w:rsidRPr="0094561D">
        <w:rPr>
          <w:rFonts w:asciiTheme="minorHAnsi" w:eastAsia="Arial" w:hAnsiTheme="minorHAnsi" w:cstheme="minorHAnsi"/>
          <w:bCs/>
          <w:color w:val="auto"/>
          <w:sz w:val="21"/>
          <w:szCs w:val="21"/>
        </w:rPr>
        <w:t xml:space="preserve"> accounts have minimum account activity requirements </w:t>
      </w:r>
      <w:r w:rsidR="007C385F" w:rsidRPr="0094561D">
        <w:rPr>
          <w:rFonts w:asciiTheme="minorHAnsi" w:eastAsia="Arial" w:hAnsiTheme="minorHAnsi" w:cstheme="minorHAnsi"/>
          <w:bCs/>
          <w:color w:val="auto"/>
          <w:sz w:val="21"/>
          <w:szCs w:val="21"/>
        </w:rPr>
        <w:t>and/</w:t>
      </w:r>
      <w:r w:rsidRPr="0094561D">
        <w:rPr>
          <w:rFonts w:asciiTheme="minorHAnsi" w:eastAsia="Arial" w:hAnsiTheme="minorHAnsi" w:cstheme="minorHAnsi"/>
          <w:bCs/>
          <w:color w:val="auto"/>
          <w:sz w:val="21"/>
          <w:szCs w:val="21"/>
        </w:rPr>
        <w:t xml:space="preserve">or minimum </w:t>
      </w:r>
      <w:r w:rsidR="007C385F" w:rsidRPr="0094561D">
        <w:rPr>
          <w:rFonts w:asciiTheme="minorHAnsi" w:eastAsia="Arial" w:hAnsiTheme="minorHAnsi" w:cstheme="minorHAnsi"/>
          <w:bCs/>
          <w:color w:val="auto"/>
          <w:sz w:val="21"/>
          <w:szCs w:val="21"/>
        </w:rPr>
        <w:t xml:space="preserve">on-going </w:t>
      </w:r>
      <w:r w:rsidRPr="0094561D">
        <w:rPr>
          <w:rFonts w:asciiTheme="minorHAnsi" w:eastAsia="Arial" w:hAnsiTheme="minorHAnsi" w:cstheme="minorHAnsi"/>
          <w:bCs/>
          <w:color w:val="auto"/>
          <w:sz w:val="21"/>
          <w:szCs w:val="21"/>
        </w:rPr>
        <w:t>balance requirements that must be maintained</w:t>
      </w:r>
      <w:r w:rsidR="003D3171" w:rsidRPr="0094561D">
        <w:rPr>
          <w:rFonts w:asciiTheme="minorHAnsi" w:eastAsia="Arial" w:hAnsiTheme="minorHAnsi" w:cstheme="minorHAnsi"/>
          <w:bCs/>
          <w:color w:val="auto"/>
          <w:sz w:val="21"/>
          <w:szCs w:val="21"/>
        </w:rPr>
        <w:t>,</w:t>
      </w:r>
      <w:r w:rsidRPr="0094561D">
        <w:rPr>
          <w:rFonts w:asciiTheme="minorHAnsi" w:eastAsia="Arial" w:hAnsiTheme="minorHAnsi" w:cstheme="minorHAnsi"/>
          <w:bCs/>
          <w:color w:val="auto"/>
          <w:sz w:val="21"/>
          <w:szCs w:val="21"/>
        </w:rPr>
        <w:t xml:space="preserve"> or your</w:t>
      </w:r>
      <w:r w:rsidRPr="00651223">
        <w:rPr>
          <w:rFonts w:asciiTheme="minorHAnsi" w:eastAsia="Arial" w:hAnsiTheme="minorHAnsi" w:cstheme="minorHAnsi"/>
          <w:bCs/>
          <w:color w:val="auto"/>
          <w:sz w:val="22"/>
          <w:szCs w:val="22"/>
        </w:rPr>
        <w:t xml:space="preserve"> </w:t>
      </w:r>
      <w:r w:rsidRPr="0094561D">
        <w:rPr>
          <w:rFonts w:asciiTheme="minorHAnsi" w:eastAsia="Arial" w:hAnsiTheme="minorHAnsi" w:cstheme="minorHAnsi"/>
          <w:bCs/>
          <w:color w:val="auto"/>
          <w:sz w:val="21"/>
          <w:szCs w:val="21"/>
        </w:rPr>
        <w:t>brokerage account will be closed. These requirements are d</w:t>
      </w:r>
      <w:r w:rsidR="007C385F" w:rsidRPr="0094561D">
        <w:rPr>
          <w:rFonts w:asciiTheme="minorHAnsi" w:eastAsia="Arial" w:hAnsiTheme="minorHAnsi" w:cstheme="minorHAnsi"/>
          <w:bCs/>
          <w:color w:val="auto"/>
          <w:sz w:val="21"/>
          <w:szCs w:val="21"/>
        </w:rPr>
        <w:t>etailed in the account agreement</w:t>
      </w:r>
      <w:r w:rsidR="00DE7585" w:rsidRPr="0094561D">
        <w:rPr>
          <w:rFonts w:asciiTheme="minorHAnsi" w:eastAsia="Arial" w:hAnsiTheme="minorHAnsi" w:cstheme="minorHAnsi"/>
          <w:bCs/>
          <w:color w:val="auto"/>
          <w:sz w:val="21"/>
          <w:szCs w:val="21"/>
        </w:rPr>
        <w:t>(s)</w:t>
      </w:r>
      <w:r w:rsidRPr="0094561D">
        <w:rPr>
          <w:rFonts w:asciiTheme="minorHAnsi" w:eastAsia="Arial" w:hAnsiTheme="minorHAnsi" w:cstheme="minorHAnsi"/>
          <w:bCs/>
          <w:color w:val="auto"/>
          <w:sz w:val="21"/>
          <w:szCs w:val="21"/>
        </w:rPr>
        <w:t xml:space="preserve"> you receive when you </w:t>
      </w:r>
      <w:r w:rsidR="003D3171" w:rsidRPr="0094561D">
        <w:rPr>
          <w:rFonts w:asciiTheme="minorHAnsi" w:eastAsia="Arial" w:hAnsiTheme="minorHAnsi" w:cstheme="minorHAnsi"/>
          <w:bCs/>
          <w:color w:val="auto"/>
          <w:sz w:val="21"/>
          <w:szCs w:val="21"/>
        </w:rPr>
        <w:t>open</w:t>
      </w:r>
      <w:r w:rsidRPr="0094561D">
        <w:rPr>
          <w:rFonts w:asciiTheme="minorHAnsi" w:eastAsia="Arial" w:hAnsiTheme="minorHAnsi" w:cstheme="minorHAnsi"/>
          <w:bCs/>
          <w:color w:val="auto"/>
          <w:sz w:val="21"/>
          <w:szCs w:val="21"/>
        </w:rPr>
        <w:t xml:space="preserve"> your brokerage account. </w:t>
      </w:r>
    </w:p>
    <w:p w14:paraId="2DEE42BB" w14:textId="77777777" w:rsidR="003E1587" w:rsidRPr="0094561D" w:rsidRDefault="003E1587" w:rsidP="00766B05">
      <w:pPr>
        <w:pStyle w:val="Default0"/>
        <w:ind w:left="90"/>
        <w:jc w:val="both"/>
        <w:rPr>
          <w:rFonts w:asciiTheme="minorHAnsi" w:eastAsia="Arial" w:hAnsiTheme="minorHAnsi" w:cstheme="minorHAnsi"/>
          <w:bCs/>
          <w:color w:val="auto"/>
          <w:sz w:val="21"/>
          <w:szCs w:val="21"/>
        </w:rPr>
      </w:pPr>
    </w:p>
    <w:p w14:paraId="2882C76B" w14:textId="2CC39835" w:rsidR="00695E5A" w:rsidRPr="0094561D" w:rsidRDefault="00151284" w:rsidP="00766B05">
      <w:pPr>
        <w:pStyle w:val="Default0"/>
        <w:ind w:left="90"/>
        <w:jc w:val="both"/>
        <w:rPr>
          <w:rFonts w:asciiTheme="minorHAnsi" w:eastAsia="Arial" w:hAnsiTheme="minorHAnsi" w:cstheme="minorHAnsi"/>
          <w:bCs/>
          <w:color w:val="auto"/>
          <w:sz w:val="21"/>
          <w:szCs w:val="21"/>
        </w:rPr>
      </w:pPr>
      <w:r w:rsidRPr="0094561D">
        <w:rPr>
          <w:rFonts w:asciiTheme="minorHAnsi" w:eastAsia="Arial" w:hAnsiTheme="minorHAnsi" w:cstheme="minorHAnsi"/>
          <w:bCs/>
          <w:color w:val="auto"/>
          <w:sz w:val="21"/>
          <w:szCs w:val="21"/>
        </w:rPr>
        <w:t>Y</w:t>
      </w:r>
      <w:r w:rsidR="003E1587" w:rsidRPr="0094561D">
        <w:rPr>
          <w:rFonts w:asciiTheme="minorHAnsi" w:eastAsia="Arial" w:hAnsiTheme="minorHAnsi" w:cstheme="minorHAnsi"/>
          <w:bCs/>
          <w:color w:val="auto"/>
          <w:sz w:val="21"/>
          <w:szCs w:val="21"/>
        </w:rPr>
        <w:t>ou</w:t>
      </w:r>
      <w:r w:rsidR="007C385F" w:rsidRPr="0094561D">
        <w:rPr>
          <w:rFonts w:asciiTheme="minorHAnsi" w:eastAsia="Arial" w:hAnsiTheme="minorHAnsi" w:cstheme="minorHAnsi"/>
          <w:bCs/>
          <w:color w:val="auto"/>
          <w:sz w:val="21"/>
          <w:szCs w:val="21"/>
        </w:rPr>
        <w:t xml:space="preserve"> should</w:t>
      </w:r>
      <w:r w:rsidRPr="0094561D">
        <w:rPr>
          <w:rFonts w:asciiTheme="minorHAnsi" w:eastAsia="Arial" w:hAnsiTheme="minorHAnsi" w:cstheme="minorHAnsi"/>
          <w:bCs/>
          <w:color w:val="auto"/>
          <w:sz w:val="21"/>
          <w:szCs w:val="21"/>
        </w:rPr>
        <w:t xml:space="preserve"> also</w:t>
      </w:r>
      <w:r w:rsidR="007C385F" w:rsidRPr="0094561D">
        <w:rPr>
          <w:rFonts w:asciiTheme="minorHAnsi" w:eastAsia="Arial" w:hAnsiTheme="minorHAnsi" w:cstheme="minorHAnsi"/>
          <w:bCs/>
          <w:color w:val="auto"/>
          <w:sz w:val="21"/>
          <w:szCs w:val="21"/>
        </w:rPr>
        <w:t xml:space="preserve"> understand that our</w:t>
      </w:r>
      <w:r w:rsidR="00DE7585" w:rsidRPr="0094561D">
        <w:rPr>
          <w:rFonts w:asciiTheme="minorHAnsi" w:eastAsia="Arial" w:hAnsiTheme="minorHAnsi" w:cstheme="minorHAnsi"/>
          <w:bCs/>
          <w:color w:val="auto"/>
          <w:sz w:val="21"/>
          <w:szCs w:val="21"/>
        </w:rPr>
        <w:t xml:space="preserve"> </w:t>
      </w:r>
      <w:r w:rsidR="00EE0452" w:rsidRPr="0094561D">
        <w:rPr>
          <w:rFonts w:asciiTheme="minorHAnsi" w:eastAsia="Arial" w:hAnsiTheme="minorHAnsi" w:cstheme="minorHAnsi"/>
          <w:bCs/>
          <w:color w:val="auto"/>
          <w:sz w:val="21"/>
          <w:szCs w:val="21"/>
        </w:rPr>
        <w:t>Financial Professional</w:t>
      </w:r>
      <w:r w:rsidRPr="0094561D">
        <w:rPr>
          <w:rFonts w:asciiTheme="minorHAnsi" w:eastAsia="Arial" w:hAnsiTheme="minorHAnsi" w:cstheme="minorHAnsi"/>
          <w:bCs/>
          <w:color w:val="auto"/>
          <w:sz w:val="21"/>
          <w:szCs w:val="21"/>
        </w:rPr>
        <w:t>s</w:t>
      </w:r>
      <w:r w:rsidR="007C385F" w:rsidRPr="0094561D">
        <w:rPr>
          <w:rFonts w:asciiTheme="minorHAnsi" w:eastAsia="Arial" w:hAnsiTheme="minorHAnsi" w:cstheme="minorHAnsi"/>
          <w:bCs/>
          <w:color w:val="auto"/>
          <w:sz w:val="21"/>
          <w:szCs w:val="21"/>
        </w:rPr>
        <w:t xml:space="preserve"> may establish </w:t>
      </w:r>
      <w:r w:rsidRPr="0094561D">
        <w:rPr>
          <w:rFonts w:asciiTheme="minorHAnsi" w:eastAsia="Arial" w:hAnsiTheme="minorHAnsi" w:cstheme="minorHAnsi"/>
          <w:bCs/>
          <w:color w:val="auto"/>
          <w:sz w:val="21"/>
          <w:szCs w:val="21"/>
        </w:rPr>
        <w:t xml:space="preserve">their own </w:t>
      </w:r>
      <w:r w:rsidR="007C385F" w:rsidRPr="0094561D">
        <w:rPr>
          <w:rFonts w:asciiTheme="minorHAnsi" w:eastAsia="Arial" w:hAnsiTheme="minorHAnsi" w:cstheme="minorHAnsi"/>
          <w:bCs/>
          <w:color w:val="auto"/>
          <w:sz w:val="21"/>
          <w:szCs w:val="21"/>
        </w:rPr>
        <w:t xml:space="preserve">minimum account balance requirements </w:t>
      </w:r>
      <w:r w:rsidR="005958DC" w:rsidRPr="0094561D">
        <w:rPr>
          <w:rFonts w:asciiTheme="minorHAnsi" w:eastAsia="Arial" w:hAnsiTheme="minorHAnsi" w:cstheme="minorHAnsi"/>
          <w:bCs/>
          <w:color w:val="auto"/>
          <w:sz w:val="21"/>
          <w:szCs w:val="21"/>
        </w:rPr>
        <w:t xml:space="preserve">for the </w:t>
      </w:r>
      <w:r w:rsidRPr="0094561D">
        <w:rPr>
          <w:rFonts w:asciiTheme="minorHAnsi" w:eastAsia="Arial" w:hAnsiTheme="minorHAnsi" w:cstheme="minorHAnsi"/>
          <w:bCs/>
          <w:color w:val="auto"/>
          <w:sz w:val="21"/>
          <w:szCs w:val="21"/>
        </w:rPr>
        <w:t xml:space="preserve">brokerage </w:t>
      </w:r>
      <w:r w:rsidR="005958DC" w:rsidRPr="0094561D">
        <w:rPr>
          <w:rFonts w:asciiTheme="minorHAnsi" w:eastAsia="Arial" w:hAnsiTheme="minorHAnsi" w:cstheme="minorHAnsi"/>
          <w:bCs/>
          <w:color w:val="auto"/>
          <w:sz w:val="21"/>
          <w:szCs w:val="21"/>
        </w:rPr>
        <w:t xml:space="preserve">accounts they service. For example, a dedicated </w:t>
      </w:r>
      <w:r w:rsidR="00EE0452" w:rsidRPr="0094561D">
        <w:rPr>
          <w:rFonts w:asciiTheme="minorHAnsi" w:eastAsia="Arial" w:hAnsiTheme="minorHAnsi" w:cstheme="minorHAnsi"/>
          <w:bCs/>
          <w:color w:val="auto"/>
          <w:sz w:val="21"/>
          <w:szCs w:val="21"/>
        </w:rPr>
        <w:t>Financial Professional</w:t>
      </w:r>
      <w:r w:rsidR="005958DC" w:rsidRPr="0094561D">
        <w:rPr>
          <w:rFonts w:asciiTheme="minorHAnsi" w:eastAsia="Arial" w:hAnsiTheme="minorHAnsi" w:cstheme="minorHAnsi"/>
          <w:bCs/>
          <w:color w:val="auto"/>
          <w:sz w:val="21"/>
          <w:szCs w:val="21"/>
        </w:rPr>
        <w:t xml:space="preserve"> may choose to service only those </w:t>
      </w:r>
      <w:r w:rsidR="00DE7585" w:rsidRPr="0094561D">
        <w:rPr>
          <w:rFonts w:asciiTheme="minorHAnsi" w:eastAsia="Arial" w:hAnsiTheme="minorHAnsi" w:cstheme="minorHAnsi"/>
          <w:bCs/>
          <w:color w:val="auto"/>
          <w:sz w:val="21"/>
          <w:szCs w:val="21"/>
        </w:rPr>
        <w:t>brokerage account</w:t>
      </w:r>
      <w:r w:rsidRPr="0094561D">
        <w:rPr>
          <w:rFonts w:asciiTheme="minorHAnsi" w:eastAsia="Arial" w:hAnsiTheme="minorHAnsi" w:cstheme="minorHAnsi"/>
          <w:bCs/>
          <w:color w:val="auto"/>
          <w:sz w:val="21"/>
          <w:szCs w:val="21"/>
        </w:rPr>
        <w:t xml:space="preserve"> </w:t>
      </w:r>
      <w:r w:rsidR="004A059C" w:rsidRPr="0094561D">
        <w:rPr>
          <w:rFonts w:asciiTheme="minorHAnsi" w:eastAsia="Arial" w:hAnsiTheme="minorHAnsi" w:cstheme="minorHAnsi"/>
          <w:bCs/>
          <w:color w:val="auto"/>
          <w:sz w:val="21"/>
          <w:szCs w:val="21"/>
        </w:rPr>
        <w:t>customer</w:t>
      </w:r>
      <w:r w:rsidRPr="0094561D">
        <w:rPr>
          <w:rFonts w:asciiTheme="minorHAnsi" w:eastAsia="Arial" w:hAnsiTheme="minorHAnsi" w:cstheme="minorHAnsi"/>
          <w:bCs/>
          <w:color w:val="auto"/>
          <w:sz w:val="21"/>
          <w:szCs w:val="21"/>
        </w:rPr>
        <w:t>s</w:t>
      </w:r>
      <w:r w:rsidR="00DE7585" w:rsidRPr="0094561D">
        <w:rPr>
          <w:rFonts w:asciiTheme="minorHAnsi" w:eastAsia="Arial" w:hAnsiTheme="minorHAnsi" w:cstheme="minorHAnsi"/>
          <w:bCs/>
          <w:color w:val="auto"/>
          <w:sz w:val="21"/>
          <w:szCs w:val="21"/>
        </w:rPr>
        <w:t xml:space="preserve"> </w:t>
      </w:r>
      <w:r w:rsidRPr="0094561D">
        <w:rPr>
          <w:rFonts w:asciiTheme="minorHAnsi" w:eastAsia="Arial" w:hAnsiTheme="minorHAnsi" w:cstheme="minorHAnsi"/>
          <w:bCs/>
          <w:color w:val="auto"/>
          <w:sz w:val="21"/>
          <w:szCs w:val="21"/>
        </w:rPr>
        <w:t>who</w:t>
      </w:r>
      <w:r w:rsidR="00DE7585" w:rsidRPr="0094561D">
        <w:rPr>
          <w:rFonts w:asciiTheme="minorHAnsi" w:eastAsia="Arial" w:hAnsiTheme="minorHAnsi" w:cstheme="minorHAnsi"/>
          <w:bCs/>
          <w:color w:val="auto"/>
          <w:sz w:val="21"/>
          <w:szCs w:val="21"/>
        </w:rPr>
        <w:t xml:space="preserve"> </w:t>
      </w:r>
      <w:r w:rsidR="003D3171" w:rsidRPr="0094561D">
        <w:rPr>
          <w:rFonts w:asciiTheme="minorHAnsi" w:eastAsia="Arial" w:hAnsiTheme="minorHAnsi" w:cstheme="minorHAnsi"/>
          <w:bCs/>
          <w:color w:val="auto"/>
          <w:sz w:val="21"/>
          <w:szCs w:val="21"/>
        </w:rPr>
        <w:t>satisfy</w:t>
      </w:r>
      <w:r w:rsidR="00DE7585" w:rsidRPr="0094561D">
        <w:rPr>
          <w:rFonts w:asciiTheme="minorHAnsi" w:eastAsia="Arial" w:hAnsiTheme="minorHAnsi" w:cstheme="minorHAnsi"/>
          <w:bCs/>
          <w:color w:val="auto"/>
          <w:sz w:val="21"/>
          <w:szCs w:val="21"/>
        </w:rPr>
        <w:t xml:space="preserve"> </w:t>
      </w:r>
      <w:r w:rsidR="003D3171" w:rsidRPr="0094561D">
        <w:rPr>
          <w:rFonts w:asciiTheme="minorHAnsi" w:eastAsia="Arial" w:hAnsiTheme="minorHAnsi" w:cstheme="minorHAnsi"/>
          <w:bCs/>
          <w:color w:val="auto"/>
          <w:sz w:val="21"/>
          <w:szCs w:val="21"/>
        </w:rPr>
        <w:t xml:space="preserve">account-specific or </w:t>
      </w:r>
      <w:r w:rsidR="003D3171" w:rsidRPr="0094561D">
        <w:rPr>
          <w:rFonts w:asciiTheme="minorHAnsi" w:eastAsia="Arial" w:hAnsiTheme="minorHAnsi" w:cstheme="minorHAnsi"/>
          <w:bCs/>
          <w:color w:val="auto"/>
          <w:sz w:val="21"/>
          <w:szCs w:val="21"/>
        </w:rPr>
        <w:lastRenderedPageBreak/>
        <w:t>total household asset conditions</w:t>
      </w:r>
      <w:r w:rsidR="005958DC" w:rsidRPr="0094561D">
        <w:rPr>
          <w:rFonts w:asciiTheme="minorHAnsi" w:eastAsia="Arial" w:hAnsiTheme="minorHAnsi" w:cstheme="minorHAnsi"/>
          <w:bCs/>
          <w:color w:val="auto"/>
          <w:sz w:val="21"/>
          <w:szCs w:val="21"/>
        </w:rPr>
        <w:t xml:space="preserve">. </w:t>
      </w:r>
      <w:r w:rsidR="003D3171" w:rsidRPr="0094561D">
        <w:rPr>
          <w:rFonts w:asciiTheme="minorHAnsi" w:eastAsia="Arial" w:hAnsiTheme="minorHAnsi" w:cstheme="minorHAnsi"/>
          <w:bCs/>
          <w:color w:val="auto"/>
          <w:sz w:val="21"/>
          <w:szCs w:val="21"/>
        </w:rPr>
        <w:t>M</w:t>
      </w:r>
      <w:r w:rsidR="00285875" w:rsidRPr="0094561D">
        <w:rPr>
          <w:rFonts w:asciiTheme="minorHAnsi" w:eastAsia="Arial" w:hAnsiTheme="minorHAnsi" w:cstheme="minorHAnsi"/>
          <w:bCs/>
          <w:color w:val="auto"/>
          <w:sz w:val="21"/>
          <w:szCs w:val="21"/>
        </w:rPr>
        <w:t xml:space="preserve">inimum asset requirements </w:t>
      </w:r>
      <w:r w:rsidR="003E1587" w:rsidRPr="0094561D">
        <w:rPr>
          <w:rFonts w:asciiTheme="minorHAnsi" w:eastAsia="Arial" w:hAnsiTheme="minorHAnsi" w:cstheme="minorHAnsi"/>
          <w:bCs/>
          <w:color w:val="auto"/>
          <w:sz w:val="21"/>
          <w:szCs w:val="21"/>
        </w:rPr>
        <w:t xml:space="preserve">are disclosed to you orally by </w:t>
      </w:r>
      <w:r w:rsidR="00627DAF" w:rsidRPr="0094561D">
        <w:rPr>
          <w:rFonts w:asciiTheme="minorHAnsi" w:eastAsia="Arial" w:hAnsiTheme="minorHAnsi" w:cstheme="minorHAnsi"/>
          <w:bCs/>
          <w:color w:val="auto"/>
          <w:sz w:val="21"/>
          <w:szCs w:val="21"/>
        </w:rPr>
        <w:t>your</w:t>
      </w:r>
      <w:r w:rsidR="003E1587" w:rsidRPr="0094561D">
        <w:rPr>
          <w:rFonts w:asciiTheme="minorHAnsi" w:eastAsia="Arial" w:hAnsiTheme="minorHAnsi" w:cstheme="minorHAnsi"/>
          <w:bCs/>
          <w:color w:val="auto"/>
          <w:sz w:val="21"/>
          <w:szCs w:val="21"/>
        </w:rPr>
        <w:t xml:space="preserve"> </w:t>
      </w:r>
      <w:r w:rsidR="00EE0452" w:rsidRPr="0094561D">
        <w:rPr>
          <w:rFonts w:asciiTheme="minorHAnsi" w:eastAsia="Arial" w:hAnsiTheme="minorHAnsi" w:cstheme="minorHAnsi"/>
          <w:bCs/>
          <w:color w:val="auto"/>
          <w:sz w:val="21"/>
          <w:szCs w:val="21"/>
        </w:rPr>
        <w:t>Financial Professional</w:t>
      </w:r>
      <w:r w:rsidR="003E1587" w:rsidRPr="0094561D">
        <w:rPr>
          <w:rFonts w:asciiTheme="minorHAnsi" w:eastAsia="Arial" w:hAnsiTheme="minorHAnsi" w:cstheme="minorHAnsi"/>
          <w:bCs/>
          <w:color w:val="auto"/>
          <w:sz w:val="21"/>
          <w:szCs w:val="21"/>
        </w:rPr>
        <w:t xml:space="preserve">. </w:t>
      </w:r>
    </w:p>
    <w:p w14:paraId="4C53501C" w14:textId="77777777" w:rsidR="00BC37B1" w:rsidRDefault="00BC37B1" w:rsidP="00C334AF">
      <w:pPr>
        <w:pStyle w:val="Heading1"/>
        <w:rPr>
          <w:rFonts w:asciiTheme="minorHAnsi" w:hAnsiTheme="minorHAnsi" w:cstheme="minorHAnsi"/>
          <w:sz w:val="32"/>
          <w:szCs w:val="32"/>
          <w:u w:val="none"/>
        </w:rPr>
      </w:pPr>
      <w:bookmarkStart w:id="7" w:name="_Toc38290469"/>
    </w:p>
    <w:p w14:paraId="0EAF6020" w14:textId="4185FD4D" w:rsidR="00724ED8" w:rsidRPr="009F29B9" w:rsidRDefault="00C334AF" w:rsidP="00C334AF">
      <w:pPr>
        <w:pStyle w:val="Heading1"/>
        <w:rPr>
          <w:rFonts w:asciiTheme="minorHAnsi" w:hAnsiTheme="minorHAnsi" w:cstheme="minorHAnsi"/>
          <w:sz w:val="32"/>
          <w:szCs w:val="32"/>
          <w:u w:val="none"/>
        </w:rPr>
      </w:pPr>
      <w:r w:rsidRPr="009F29B9">
        <w:rPr>
          <w:rFonts w:asciiTheme="minorHAnsi" w:hAnsiTheme="minorHAnsi" w:cstheme="minorHAnsi"/>
          <w:sz w:val="32"/>
          <w:szCs w:val="32"/>
          <w:u w:val="none"/>
        </w:rPr>
        <w:t xml:space="preserve">Brokerage </w:t>
      </w:r>
      <w:r w:rsidR="009F29B9">
        <w:rPr>
          <w:rFonts w:asciiTheme="minorHAnsi" w:hAnsiTheme="minorHAnsi" w:cstheme="minorHAnsi"/>
          <w:sz w:val="32"/>
          <w:szCs w:val="32"/>
          <w:u w:val="none"/>
        </w:rPr>
        <w:t>S</w:t>
      </w:r>
      <w:r w:rsidR="00A41E6F" w:rsidRPr="009F29B9">
        <w:rPr>
          <w:rFonts w:asciiTheme="minorHAnsi" w:hAnsiTheme="minorHAnsi" w:cstheme="minorHAnsi"/>
          <w:sz w:val="32"/>
          <w:szCs w:val="32"/>
          <w:u w:val="none"/>
        </w:rPr>
        <w:t xml:space="preserve">ervice </w:t>
      </w:r>
      <w:commentRangeStart w:id="8"/>
      <w:r w:rsidR="009F29B9">
        <w:rPr>
          <w:rFonts w:asciiTheme="minorHAnsi" w:hAnsiTheme="minorHAnsi" w:cstheme="minorHAnsi"/>
          <w:sz w:val="32"/>
          <w:szCs w:val="32"/>
          <w:u w:val="none"/>
        </w:rPr>
        <w:t>P</w:t>
      </w:r>
      <w:r w:rsidRPr="009F29B9">
        <w:rPr>
          <w:rFonts w:asciiTheme="minorHAnsi" w:hAnsiTheme="minorHAnsi" w:cstheme="minorHAnsi"/>
          <w:sz w:val="32"/>
          <w:szCs w:val="32"/>
          <w:u w:val="none"/>
        </w:rPr>
        <w:t>roducts</w:t>
      </w:r>
      <w:bookmarkEnd w:id="7"/>
      <w:commentRangeEnd w:id="8"/>
      <w:r w:rsidR="00562890">
        <w:rPr>
          <w:rStyle w:val="CommentReference"/>
          <w:b w:val="0"/>
          <w:bCs w:val="0"/>
          <w:u w:val="none"/>
        </w:rPr>
        <w:commentReference w:id="8"/>
      </w:r>
    </w:p>
    <w:p w14:paraId="5CA78F67" w14:textId="03C1461A" w:rsidR="00D63C9C" w:rsidRPr="0094561D" w:rsidRDefault="00F43C79" w:rsidP="00F43C79">
      <w:pPr>
        <w:widowControl/>
        <w:adjustRightInd w:val="0"/>
        <w:ind w:firstLine="120"/>
        <w:rPr>
          <w:rFonts w:asciiTheme="minorHAnsi" w:eastAsiaTheme="minorHAnsi" w:hAnsiTheme="minorHAnsi" w:cstheme="minorHAnsi"/>
          <w:b/>
          <w:bCs/>
          <w:sz w:val="21"/>
          <w:szCs w:val="21"/>
        </w:rPr>
      </w:pPr>
      <w:r w:rsidRPr="00562890">
        <w:rPr>
          <w:rFonts w:asciiTheme="minorHAnsi" w:eastAsiaTheme="minorHAnsi" w:hAnsiTheme="minorHAnsi" w:cstheme="minorHAnsi"/>
          <w:b/>
          <w:bCs/>
          <w:sz w:val="21"/>
          <w:szCs w:val="21"/>
        </w:rPr>
        <w:t>Equities</w:t>
      </w:r>
      <w:r w:rsidRPr="0094561D">
        <w:rPr>
          <w:rFonts w:asciiTheme="minorHAnsi" w:eastAsiaTheme="minorHAnsi" w:hAnsiTheme="minorHAnsi" w:cstheme="minorHAnsi"/>
          <w:b/>
          <w:bCs/>
          <w:sz w:val="21"/>
          <w:szCs w:val="21"/>
        </w:rPr>
        <w:t xml:space="preserve"> </w:t>
      </w:r>
    </w:p>
    <w:p w14:paraId="2A078810" w14:textId="0DACE804" w:rsidR="008E0D47" w:rsidRPr="0094561D" w:rsidRDefault="00811BAB" w:rsidP="00CD47CA">
      <w:pPr>
        <w:widowControl/>
        <w:adjustRightInd w:val="0"/>
        <w:ind w:left="120"/>
        <w:jc w:val="both"/>
        <w:rPr>
          <w:rFonts w:asciiTheme="minorHAnsi" w:eastAsiaTheme="minorHAnsi" w:hAnsiTheme="minorHAnsi" w:cstheme="minorHAnsi"/>
          <w:sz w:val="21"/>
          <w:szCs w:val="21"/>
        </w:rPr>
      </w:pPr>
      <w:r>
        <w:rPr>
          <w:rFonts w:asciiTheme="minorHAnsi" w:eastAsiaTheme="minorHAnsi" w:hAnsiTheme="minorHAnsi" w:cstheme="minorHAnsi"/>
          <w:sz w:val="21"/>
          <w:szCs w:val="21"/>
        </w:rPr>
        <w:t xml:space="preserve">Tigress </w:t>
      </w:r>
      <w:r w:rsidR="00D63C9C" w:rsidRPr="0094561D">
        <w:rPr>
          <w:rFonts w:asciiTheme="minorHAnsi" w:eastAsiaTheme="minorHAnsi" w:hAnsiTheme="minorHAnsi" w:cstheme="minorHAnsi"/>
          <w:sz w:val="21"/>
          <w:szCs w:val="21"/>
        </w:rPr>
        <w:t xml:space="preserve">Investments is a broker-dealer </w:t>
      </w:r>
      <w:r w:rsidR="004A26B9" w:rsidRPr="0094561D">
        <w:rPr>
          <w:rFonts w:asciiTheme="minorHAnsi" w:eastAsiaTheme="minorHAnsi" w:hAnsiTheme="minorHAnsi" w:cstheme="minorHAnsi"/>
          <w:sz w:val="21"/>
          <w:szCs w:val="21"/>
        </w:rPr>
        <w:t xml:space="preserve">offering access to the </w:t>
      </w:r>
      <w:r w:rsidR="00D63C9C" w:rsidRPr="0094561D">
        <w:rPr>
          <w:rFonts w:asciiTheme="minorHAnsi" w:eastAsiaTheme="minorHAnsi" w:hAnsiTheme="minorHAnsi" w:cstheme="minorHAnsi"/>
          <w:sz w:val="21"/>
          <w:szCs w:val="21"/>
        </w:rPr>
        <w:t>equity</w:t>
      </w:r>
      <w:r w:rsidR="004A26B9" w:rsidRPr="0094561D">
        <w:rPr>
          <w:rFonts w:asciiTheme="minorHAnsi" w:eastAsiaTheme="minorHAnsi" w:hAnsiTheme="minorHAnsi" w:cstheme="minorHAnsi"/>
          <w:sz w:val="21"/>
          <w:szCs w:val="21"/>
        </w:rPr>
        <w:t xml:space="preserve"> markets, both listed and</w:t>
      </w:r>
      <w:r w:rsidR="00D63C9C" w:rsidRPr="0094561D">
        <w:rPr>
          <w:rFonts w:asciiTheme="minorHAnsi" w:eastAsiaTheme="minorHAnsi" w:hAnsiTheme="minorHAnsi" w:cstheme="minorHAnsi"/>
          <w:sz w:val="21"/>
          <w:szCs w:val="21"/>
        </w:rPr>
        <w:t xml:space="preserve"> OTC (</w:t>
      </w:r>
      <w:r w:rsidR="004A26B9" w:rsidRPr="0094561D">
        <w:rPr>
          <w:rFonts w:asciiTheme="minorHAnsi" w:eastAsiaTheme="minorHAnsi" w:hAnsiTheme="minorHAnsi" w:cstheme="minorHAnsi"/>
          <w:sz w:val="21"/>
          <w:szCs w:val="21"/>
        </w:rPr>
        <w:t>i.e., over the counter) securities.</w:t>
      </w:r>
      <w:r w:rsidR="008E0D47" w:rsidRPr="0094561D">
        <w:rPr>
          <w:rFonts w:asciiTheme="minorHAnsi" w:eastAsiaTheme="minorHAnsi" w:hAnsiTheme="minorHAnsi" w:cstheme="minorHAnsi"/>
          <w:sz w:val="21"/>
          <w:szCs w:val="21"/>
        </w:rPr>
        <w:t xml:space="preserve"> </w:t>
      </w:r>
    </w:p>
    <w:p w14:paraId="38CED530" w14:textId="77777777" w:rsidR="008E0D47" w:rsidRPr="0094561D" w:rsidRDefault="008E0D47" w:rsidP="00CD47CA">
      <w:pPr>
        <w:widowControl/>
        <w:adjustRightInd w:val="0"/>
        <w:ind w:left="120"/>
        <w:jc w:val="both"/>
        <w:rPr>
          <w:rFonts w:asciiTheme="minorHAnsi" w:eastAsiaTheme="minorHAnsi" w:hAnsiTheme="minorHAnsi" w:cstheme="minorHAnsi"/>
          <w:sz w:val="21"/>
          <w:szCs w:val="21"/>
        </w:rPr>
      </w:pPr>
    </w:p>
    <w:p w14:paraId="4EEAA3E7" w14:textId="1CCCD5B4" w:rsidR="00D63C9C" w:rsidRPr="0094561D" w:rsidRDefault="008E0D47" w:rsidP="00CD47CA">
      <w:pPr>
        <w:widowControl/>
        <w:adjustRightInd w:val="0"/>
        <w:ind w:left="120"/>
        <w:jc w:val="both"/>
        <w:rPr>
          <w:rFonts w:asciiTheme="minorHAnsi" w:eastAsiaTheme="minorHAnsi" w:hAnsiTheme="minorHAnsi" w:cstheme="minorHAnsi"/>
          <w:sz w:val="21"/>
          <w:szCs w:val="21"/>
        </w:rPr>
      </w:pPr>
      <w:r w:rsidRPr="0094561D">
        <w:rPr>
          <w:rFonts w:asciiTheme="minorHAnsi" w:eastAsiaTheme="minorHAnsi" w:hAnsiTheme="minorHAnsi" w:cstheme="minorHAnsi"/>
          <w:sz w:val="21"/>
          <w:szCs w:val="21"/>
        </w:rPr>
        <w:t xml:space="preserve">“Listed” stock refers to stock or shares of a company that are traded on a stock exchange. Companies must pay fees to be listed and adhere to the rules and regulations of the registered securities exchange in order to be listed on that exchange. OTC refers to the process of how securities are traded for companies that are not listed on a formal stock exchange, such as the New York Stock Exchange (NYSE). Securities that are traded over-the-counter are traded via a broker-dealer network as opposed to on a centralized exchange. These securities </w:t>
      </w:r>
      <w:r w:rsidR="00CD47CA" w:rsidRPr="0094561D">
        <w:rPr>
          <w:rFonts w:asciiTheme="minorHAnsi" w:eastAsiaTheme="minorHAnsi" w:hAnsiTheme="minorHAnsi" w:cstheme="minorHAnsi"/>
          <w:sz w:val="21"/>
          <w:szCs w:val="21"/>
        </w:rPr>
        <w:t>may</w:t>
      </w:r>
      <w:r w:rsidRPr="0094561D">
        <w:rPr>
          <w:rFonts w:asciiTheme="minorHAnsi" w:eastAsiaTheme="minorHAnsi" w:hAnsiTheme="minorHAnsi" w:cstheme="minorHAnsi"/>
          <w:sz w:val="21"/>
          <w:szCs w:val="21"/>
        </w:rPr>
        <w:t xml:space="preserve"> not meet the requirements</w:t>
      </w:r>
      <w:r w:rsidR="00CD47CA" w:rsidRPr="0094561D">
        <w:rPr>
          <w:rFonts w:asciiTheme="minorHAnsi" w:eastAsiaTheme="minorHAnsi" w:hAnsiTheme="minorHAnsi" w:cstheme="minorHAnsi"/>
          <w:sz w:val="21"/>
          <w:szCs w:val="21"/>
        </w:rPr>
        <w:t xml:space="preserve"> or have chosen not</w:t>
      </w:r>
      <w:r w:rsidRPr="0094561D">
        <w:rPr>
          <w:rFonts w:asciiTheme="minorHAnsi" w:eastAsiaTheme="minorHAnsi" w:hAnsiTheme="minorHAnsi" w:cstheme="minorHAnsi"/>
          <w:sz w:val="21"/>
          <w:szCs w:val="21"/>
        </w:rPr>
        <w:t xml:space="preserve"> to have a listing on a standard market exchange.</w:t>
      </w:r>
    </w:p>
    <w:p w14:paraId="467163AC" w14:textId="77777777" w:rsidR="00D63C9C" w:rsidRPr="00651223" w:rsidRDefault="00D63C9C" w:rsidP="00F43C79">
      <w:pPr>
        <w:widowControl/>
        <w:adjustRightInd w:val="0"/>
        <w:ind w:firstLine="120"/>
        <w:rPr>
          <w:rFonts w:asciiTheme="minorHAnsi" w:eastAsiaTheme="minorHAnsi" w:hAnsiTheme="minorHAnsi" w:cstheme="minorHAnsi"/>
          <w:b/>
          <w:bCs/>
        </w:rPr>
      </w:pPr>
    </w:p>
    <w:p w14:paraId="525C6AA8" w14:textId="23354D7E" w:rsidR="00F43C79" w:rsidRPr="005F0AE0" w:rsidRDefault="00F43C79" w:rsidP="00F43C79">
      <w:pPr>
        <w:widowControl/>
        <w:adjustRightInd w:val="0"/>
        <w:ind w:firstLine="120"/>
        <w:rPr>
          <w:rFonts w:asciiTheme="minorHAnsi" w:eastAsiaTheme="minorHAnsi" w:hAnsiTheme="minorHAnsi" w:cstheme="minorHAnsi"/>
          <w:b/>
          <w:bCs/>
          <w:sz w:val="21"/>
          <w:szCs w:val="21"/>
        </w:rPr>
      </w:pPr>
      <w:r w:rsidRPr="00562890">
        <w:rPr>
          <w:rFonts w:asciiTheme="minorHAnsi" w:eastAsiaTheme="minorHAnsi" w:hAnsiTheme="minorHAnsi" w:cstheme="minorHAnsi"/>
          <w:b/>
          <w:bCs/>
          <w:sz w:val="21"/>
          <w:szCs w:val="21"/>
        </w:rPr>
        <w:t>Fixed Income</w:t>
      </w:r>
    </w:p>
    <w:p w14:paraId="2E83FA77" w14:textId="21317E0D" w:rsidR="00F43C79" w:rsidRPr="005F0AE0" w:rsidRDefault="00811BAB" w:rsidP="00766B05">
      <w:pPr>
        <w:widowControl/>
        <w:adjustRightInd w:val="0"/>
        <w:ind w:left="120"/>
        <w:jc w:val="both"/>
        <w:rPr>
          <w:rFonts w:asciiTheme="minorHAnsi" w:eastAsiaTheme="minorHAnsi" w:hAnsiTheme="minorHAnsi" w:cstheme="minorHAnsi"/>
          <w:sz w:val="21"/>
          <w:szCs w:val="21"/>
        </w:rPr>
      </w:pPr>
      <w:r>
        <w:rPr>
          <w:rFonts w:asciiTheme="minorHAnsi" w:eastAsiaTheme="minorHAnsi" w:hAnsiTheme="minorHAnsi" w:cstheme="minorHAnsi"/>
          <w:sz w:val="21"/>
          <w:szCs w:val="21"/>
        </w:rPr>
        <w:t xml:space="preserve">Tigress </w:t>
      </w:r>
      <w:r w:rsidR="004A26B9" w:rsidRPr="005F0AE0">
        <w:rPr>
          <w:rFonts w:asciiTheme="minorHAnsi" w:eastAsiaTheme="minorHAnsi" w:hAnsiTheme="minorHAnsi" w:cstheme="minorHAnsi"/>
          <w:sz w:val="21"/>
          <w:szCs w:val="21"/>
        </w:rPr>
        <w:t>is a broker or dealer</w:t>
      </w:r>
      <w:r w:rsidR="00CD47CA" w:rsidRPr="005F0AE0">
        <w:rPr>
          <w:rFonts w:asciiTheme="minorHAnsi" w:eastAsiaTheme="minorHAnsi" w:hAnsiTheme="minorHAnsi" w:cstheme="minorHAnsi"/>
          <w:sz w:val="21"/>
          <w:szCs w:val="21"/>
        </w:rPr>
        <w:t xml:space="preserve"> in fixed income securities. </w:t>
      </w:r>
      <w:r>
        <w:rPr>
          <w:rFonts w:asciiTheme="minorHAnsi" w:eastAsiaTheme="minorHAnsi" w:hAnsiTheme="minorHAnsi" w:cstheme="minorHAnsi"/>
          <w:sz w:val="21"/>
          <w:szCs w:val="21"/>
        </w:rPr>
        <w:t>Tigress</w:t>
      </w:r>
      <w:r w:rsidR="00CD47CA" w:rsidRPr="005F0AE0">
        <w:rPr>
          <w:rFonts w:asciiTheme="minorHAnsi" w:eastAsiaTheme="minorHAnsi" w:hAnsiTheme="minorHAnsi" w:cstheme="minorHAnsi"/>
          <w:sz w:val="21"/>
          <w:szCs w:val="21"/>
        </w:rPr>
        <w:t xml:space="preserve"> is</w:t>
      </w:r>
      <w:r w:rsidR="004A26B9" w:rsidRPr="005F0AE0">
        <w:rPr>
          <w:rFonts w:asciiTheme="minorHAnsi" w:eastAsiaTheme="minorHAnsi" w:hAnsiTheme="minorHAnsi" w:cstheme="minorHAnsi"/>
          <w:sz w:val="21"/>
          <w:szCs w:val="21"/>
        </w:rPr>
        <w:t xml:space="preserve"> </w:t>
      </w:r>
      <w:r w:rsidR="000B50A9" w:rsidRPr="005F0AE0">
        <w:rPr>
          <w:rFonts w:asciiTheme="minorHAnsi" w:eastAsiaTheme="minorHAnsi" w:hAnsiTheme="minorHAnsi" w:cstheme="minorHAnsi"/>
          <w:sz w:val="21"/>
          <w:szCs w:val="21"/>
        </w:rPr>
        <w:t xml:space="preserve">a corporate </w:t>
      </w:r>
      <w:r w:rsidR="004A26B9" w:rsidRPr="005F0AE0">
        <w:rPr>
          <w:rFonts w:asciiTheme="minorHAnsi" w:eastAsiaTheme="minorHAnsi" w:hAnsiTheme="minorHAnsi" w:cstheme="minorHAnsi"/>
          <w:sz w:val="21"/>
          <w:szCs w:val="21"/>
        </w:rPr>
        <w:t>underwriter or selling group member</w:t>
      </w:r>
      <w:r w:rsidR="000B50A9" w:rsidRPr="005F0AE0">
        <w:rPr>
          <w:rFonts w:asciiTheme="minorHAnsi" w:eastAsiaTheme="minorHAnsi" w:hAnsiTheme="minorHAnsi" w:cstheme="minorHAnsi"/>
          <w:sz w:val="21"/>
          <w:szCs w:val="21"/>
        </w:rPr>
        <w:t xml:space="preserve">, </w:t>
      </w:r>
      <w:r w:rsidR="00CD47CA" w:rsidRPr="005F0AE0">
        <w:rPr>
          <w:rFonts w:asciiTheme="minorHAnsi" w:eastAsiaTheme="minorHAnsi" w:hAnsiTheme="minorHAnsi" w:cstheme="minorHAnsi"/>
          <w:sz w:val="21"/>
          <w:szCs w:val="21"/>
        </w:rPr>
        <w:t>municipal securities dealer,</w:t>
      </w:r>
      <w:r w:rsidR="004A26B9" w:rsidRPr="005F0AE0">
        <w:rPr>
          <w:rFonts w:asciiTheme="minorHAnsi" w:eastAsiaTheme="minorHAnsi" w:hAnsiTheme="minorHAnsi" w:cstheme="minorHAnsi"/>
          <w:sz w:val="21"/>
          <w:szCs w:val="21"/>
        </w:rPr>
        <w:t xml:space="preserve"> and </w:t>
      </w:r>
      <w:r w:rsidR="000B50A9" w:rsidRPr="005F0AE0">
        <w:rPr>
          <w:rFonts w:asciiTheme="minorHAnsi" w:eastAsiaTheme="minorHAnsi" w:hAnsiTheme="minorHAnsi" w:cstheme="minorHAnsi"/>
          <w:sz w:val="21"/>
          <w:szCs w:val="21"/>
        </w:rPr>
        <w:t xml:space="preserve">a U.S. government broker and, accordingly, </w:t>
      </w:r>
      <w:r w:rsidR="004A26B9" w:rsidRPr="005F0AE0">
        <w:rPr>
          <w:rFonts w:asciiTheme="minorHAnsi" w:eastAsiaTheme="minorHAnsi" w:hAnsiTheme="minorHAnsi" w:cstheme="minorHAnsi"/>
          <w:sz w:val="21"/>
          <w:szCs w:val="21"/>
        </w:rPr>
        <w:t>offers access to the debt markets including, but not limited to, municipal securities, corporate securities, and U.S. government securities.</w:t>
      </w:r>
    </w:p>
    <w:p w14:paraId="2293BDE2" w14:textId="18E84645" w:rsidR="008E0D47" w:rsidRPr="005F0AE0" w:rsidRDefault="008E0D47" w:rsidP="00766B05">
      <w:pPr>
        <w:widowControl/>
        <w:adjustRightInd w:val="0"/>
        <w:ind w:left="120"/>
        <w:jc w:val="both"/>
        <w:rPr>
          <w:rFonts w:asciiTheme="minorHAnsi" w:eastAsiaTheme="minorHAnsi" w:hAnsiTheme="minorHAnsi" w:cstheme="minorHAnsi"/>
          <w:sz w:val="21"/>
          <w:szCs w:val="21"/>
        </w:rPr>
      </w:pPr>
    </w:p>
    <w:p w14:paraId="21DC7D44" w14:textId="57333CFE" w:rsidR="008E0D47" w:rsidRPr="005F0AE0" w:rsidRDefault="008E0D47" w:rsidP="00766B05">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Fixed income securities are a type of debt instrument that provides returns in the form of regular, or fixed, interest payments and repayments of the principal when the security reaches maturity. The instruments are issued by governments, corporations, and other entities to finance their operations.</w:t>
      </w:r>
    </w:p>
    <w:p w14:paraId="19A20E71" w14:textId="77777777" w:rsidR="00F43C79" w:rsidRPr="005F0AE0" w:rsidRDefault="00F43C79" w:rsidP="00766B05">
      <w:pPr>
        <w:widowControl/>
        <w:adjustRightInd w:val="0"/>
        <w:ind w:firstLine="120"/>
        <w:jc w:val="both"/>
        <w:rPr>
          <w:rFonts w:asciiTheme="minorHAnsi" w:eastAsiaTheme="minorHAnsi" w:hAnsiTheme="minorHAnsi" w:cstheme="minorHAnsi"/>
          <w:b/>
          <w:bCs/>
          <w:sz w:val="21"/>
          <w:szCs w:val="21"/>
        </w:rPr>
      </w:pPr>
    </w:p>
    <w:p w14:paraId="5EB5F947" w14:textId="3E7495C2" w:rsidR="0076072D" w:rsidRPr="005F0AE0" w:rsidRDefault="0076072D" w:rsidP="00766B05">
      <w:pPr>
        <w:widowControl/>
        <w:adjustRightInd w:val="0"/>
        <w:ind w:firstLine="120"/>
        <w:jc w:val="both"/>
        <w:rPr>
          <w:rFonts w:asciiTheme="minorHAnsi" w:eastAsiaTheme="minorHAnsi" w:hAnsiTheme="minorHAnsi" w:cstheme="minorHAnsi"/>
          <w:b/>
          <w:bCs/>
          <w:sz w:val="21"/>
          <w:szCs w:val="21"/>
        </w:rPr>
      </w:pPr>
      <w:r w:rsidRPr="00562890">
        <w:rPr>
          <w:rFonts w:asciiTheme="minorHAnsi" w:eastAsiaTheme="minorHAnsi" w:hAnsiTheme="minorHAnsi" w:cstheme="minorHAnsi"/>
          <w:b/>
          <w:bCs/>
          <w:sz w:val="21"/>
          <w:szCs w:val="21"/>
        </w:rPr>
        <w:t>Mutual Funds</w:t>
      </w:r>
    </w:p>
    <w:p w14:paraId="7FBFAF16" w14:textId="3E219A7E" w:rsidR="0076072D" w:rsidRPr="005F0AE0" w:rsidRDefault="00811BAB" w:rsidP="00766B05">
      <w:pPr>
        <w:widowControl/>
        <w:adjustRightInd w:val="0"/>
        <w:ind w:left="120"/>
        <w:jc w:val="both"/>
        <w:rPr>
          <w:rFonts w:asciiTheme="minorHAnsi" w:eastAsiaTheme="minorHAnsi" w:hAnsiTheme="minorHAnsi" w:cstheme="minorHAnsi"/>
          <w:sz w:val="21"/>
          <w:szCs w:val="21"/>
        </w:rPr>
      </w:pPr>
      <w:r>
        <w:rPr>
          <w:rFonts w:asciiTheme="minorHAnsi" w:eastAsiaTheme="minorHAnsi" w:hAnsiTheme="minorHAnsi" w:cstheme="minorHAnsi"/>
          <w:sz w:val="21"/>
          <w:szCs w:val="21"/>
        </w:rPr>
        <w:t xml:space="preserve">Tigress </w:t>
      </w:r>
      <w:r w:rsidR="0076072D" w:rsidRPr="005F0AE0">
        <w:rPr>
          <w:rFonts w:asciiTheme="minorHAnsi" w:eastAsiaTheme="minorHAnsi" w:hAnsiTheme="minorHAnsi" w:cstheme="minorHAnsi"/>
          <w:sz w:val="21"/>
          <w:szCs w:val="21"/>
        </w:rPr>
        <w:t>currently offer</w:t>
      </w:r>
      <w:r w:rsidR="000B50A9" w:rsidRPr="005F0AE0">
        <w:rPr>
          <w:rFonts w:asciiTheme="minorHAnsi" w:eastAsiaTheme="minorHAnsi" w:hAnsiTheme="minorHAnsi" w:cstheme="minorHAnsi"/>
          <w:sz w:val="21"/>
          <w:szCs w:val="21"/>
        </w:rPr>
        <w:t>s</w:t>
      </w:r>
      <w:r w:rsidR="0076072D" w:rsidRPr="005F0AE0">
        <w:rPr>
          <w:rFonts w:asciiTheme="minorHAnsi" w:eastAsiaTheme="minorHAnsi" w:hAnsiTheme="minorHAnsi" w:cstheme="minorHAnsi"/>
          <w:sz w:val="21"/>
          <w:szCs w:val="21"/>
        </w:rPr>
        <w:t xml:space="preserve"> mutual funds varying in share class structure and investment style. </w:t>
      </w:r>
    </w:p>
    <w:p w14:paraId="1D0B4318" w14:textId="5419A943" w:rsidR="008E0D47" w:rsidRPr="005F0AE0" w:rsidRDefault="008E0D47" w:rsidP="00766B05">
      <w:pPr>
        <w:widowControl/>
        <w:adjustRightInd w:val="0"/>
        <w:ind w:left="120"/>
        <w:jc w:val="both"/>
        <w:rPr>
          <w:rFonts w:asciiTheme="minorHAnsi" w:eastAsiaTheme="minorHAnsi" w:hAnsiTheme="minorHAnsi" w:cstheme="minorHAnsi"/>
          <w:sz w:val="21"/>
          <w:szCs w:val="21"/>
        </w:rPr>
      </w:pPr>
    </w:p>
    <w:p w14:paraId="777F5C5C" w14:textId="6935AA8D" w:rsidR="008E0D47" w:rsidRPr="005F0AE0" w:rsidRDefault="008E0D47" w:rsidP="00766B05">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 xml:space="preserve">A mutual fund is a company that pools money from many investors and invests the money in securities such as stocks, bonds, and short-term debt. Mutual funds are operated by professional money managers, who allocate the fund’s assets and attempt to produce capital gains or income for the fund’s investors. </w:t>
      </w:r>
      <w:r w:rsidR="00DC1711" w:rsidRPr="005F0AE0">
        <w:rPr>
          <w:rFonts w:asciiTheme="minorHAnsi" w:eastAsiaTheme="minorHAnsi" w:hAnsiTheme="minorHAnsi" w:cstheme="minorHAnsi"/>
          <w:sz w:val="21"/>
          <w:szCs w:val="21"/>
        </w:rPr>
        <w:t xml:space="preserve">A mutual fund’s portfolio is structured and maintained to match the investment objectives stated in its prospectus. </w:t>
      </w:r>
      <w:r w:rsidRPr="005F0AE0">
        <w:rPr>
          <w:rFonts w:asciiTheme="minorHAnsi" w:eastAsiaTheme="minorHAnsi" w:hAnsiTheme="minorHAnsi" w:cstheme="minorHAnsi"/>
          <w:sz w:val="21"/>
          <w:szCs w:val="21"/>
        </w:rPr>
        <w:t>The combined holdings of the mutual fund are known as its portfolio. Investors buy shares in mutual funds.</w:t>
      </w:r>
    </w:p>
    <w:p w14:paraId="0FA2E4E8" w14:textId="77777777" w:rsidR="0076072D" w:rsidRPr="00651223" w:rsidRDefault="0076072D" w:rsidP="00766B05">
      <w:pPr>
        <w:widowControl/>
        <w:adjustRightInd w:val="0"/>
        <w:jc w:val="both"/>
        <w:rPr>
          <w:rFonts w:asciiTheme="minorHAnsi" w:eastAsiaTheme="minorHAnsi" w:hAnsiTheme="minorHAnsi" w:cstheme="minorHAnsi"/>
        </w:rPr>
      </w:pPr>
    </w:p>
    <w:p w14:paraId="77ACDE84" w14:textId="77777777" w:rsidR="0076072D" w:rsidRPr="005F0AE0" w:rsidRDefault="0076072D" w:rsidP="00766B05">
      <w:pPr>
        <w:widowControl/>
        <w:adjustRightInd w:val="0"/>
        <w:ind w:firstLine="120"/>
        <w:jc w:val="both"/>
        <w:rPr>
          <w:rFonts w:asciiTheme="minorHAnsi" w:eastAsiaTheme="minorHAnsi" w:hAnsiTheme="minorHAnsi" w:cstheme="minorHAnsi"/>
          <w:b/>
          <w:bCs/>
          <w:sz w:val="21"/>
          <w:szCs w:val="21"/>
        </w:rPr>
      </w:pPr>
      <w:r w:rsidRPr="00562890">
        <w:rPr>
          <w:rFonts w:asciiTheme="minorHAnsi" w:eastAsiaTheme="minorHAnsi" w:hAnsiTheme="minorHAnsi" w:cstheme="minorHAnsi"/>
          <w:b/>
          <w:bCs/>
          <w:sz w:val="21"/>
          <w:szCs w:val="21"/>
        </w:rPr>
        <w:t>Annuities</w:t>
      </w:r>
    </w:p>
    <w:p w14:paraId="4ABB1C7E" w14:textId="2A30AFF0" w:rsidR="0076072D" w:rsidRPr="005F0AE0" w:rsidRDefault="00811BAB" w:rsidP="00766B05">
      <w:pPr>
        <w:widowControl/>
        <w:adjustRightInd w:val="0"/>
        <w:ind w:left="120"/>
        <w:jc w:val="both"/>
        <w:rPr>
          <w:rFonts w:asciiTheme="minorHAnsi" w:eastAsiaTheme="minorHAnsi" w:hAnsiTheme="minorHAnsi" w:cstheme="minorHAnsi"/>
          <w:sz w:val="21"/>
          <w:szCs w:val="21"/>
        </w:rPr>
      </w:pPr>
      <w:r>
        <w:rPr>
          <w:rFonts w:asciiTheme="minorHAnsi" w:eastAsiaTheme="minorHAnsi" w:hAnsiTheme="minorHAnsi" w:cstheme="minorHAnsi"/>
          <w:sz w:val="21"/>
          <w:szCs w:val="21"/>
        </w:rPr>
        <w:t xml:space="preserve">Tigress </w:t>
      </w:r>
      <w:r w:rsidR="004A26B9" w:rsidRPr="005F0AE0">
        <w:rPr>
          <w:rFonts w:asciiTheme="minorHAnsi" w:eastAsiaTheme="minorHAnsi" w:hAnsiTheme="minorHAnsi" w:cstheme="minorHAnsi"/>
          <w:sz w:val="21"/>
          <w:szCs w:val="21"/>
        </w:rPr>
        <w:t xml:space="preserve">is a broker-dealer selling </w:t>
      </w:r>
      <w:r w:rsidR="00D63C9C" w:rsidRPr="005F0AE0">
        <w:rPr>
          <w:rFonts w:asciiTheme="minorHAnsi" w:eastAsiaTheme="minorHAnsi" w:hAnsiTheme="minorHAnsi" w:cstheme="minorHAnsi"/>
          <w:sz w:val="21"/>
          <w:szCs w:val="21"/>
        </w:rPr>
        <w:t>annuities issued by insurance companies. Annuities</w:t>
      </w:r>
      <w:r w:rsidR="0076072D" w:rsidRPr="005F0AE0">
        <w:rPr>
          <w:rFonts w:asciiTheme="minorHAnsi" w:eastAsiaTheme="minorHAnsi" w:hAnsiTheme="minorHAnsi" w:cstheme="minorHAnsi"/>
          <w:sz w:val="21"/>
          <w:szCs w:val="21"/>
        </w:rPr>
        <w:t xml:space="preserve"> consist of fixed, index, and variable annuities. </w:t>
      </w:r>
    </w:p>
    <w:p w14:paraId="11BB1B93" w14:textId="521D8648" w:rsidR="00DC1711" w:rsidRPr="005F0AE0" w:rsidRDefault="00DC1711" w:rsidP="00766B05">
      <w:pPr>
        <w:widowControl/>
        <w:adjustRightInd w:val="0"/>
        <w:ind w:left="120"/>
        <w:jc w:val="both"/>
        <w:rPr>
          <w:rFonts w:asciiTheme="minorHAnsi" w:eastAsiaTheme="minorHAnsi" w:hAnsiTheme="minorHAnsi" w:cstheme="minorHAnsi"/>
          <w:sz w:val="21"/>
          <w:szCs w:val="21"/>
        </w:rPr>
      </w:pPr>
    </w:p>
    <w:p w14:paraId="51B5549E" w14:textId="5F2E942F" w:rsidR="00DC1711" w:rsidRDefault="00DC1711" w:rsidP="00766B05">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 xml:space="preserve">An annuity is a contract between you and an insurance company in which you make a lump-sum payment or series of payments and, in return, receive regular disbursements, beginning either immediately or at some point in the future. The income you receive from an annuity is taxed at regular income tax rates, not capital gains rates, which are usually lower. The goal of an annuity is to provide a steady stream of income, typically during retirement. Funds accrue on a tax-deferred basis and can only be withdrawn without penalty after age 59 ½. </w:t>
      </w:r>
    </w:p>
    <w:p w14:paraId="7ACEB6F6" w14:textId="77777777" w:rsidR="007304D5" w:rsidRDefault="007304D5" w:rsidP="00766B05">
      <w:pPr>
        <w:widowControl/>
        <w:adjustRightInd w:val="0"/>
        <w:ind w:left="120"/>
        <w:jc w:val="both"/>
        <w:rPr>
          <w:rFonts w:asciiTheme="minorHAnsi" w:eastAsiaTheme="minorHAnsi" w:hAnsiTheme="minorHAnsi" w:cstheme="minorHAnsi"/>
          <w:sz w:val="21"/>
          <w:szCs w:val="21"/>
        </w:rPr>
      </w:pPr>
    </w:p>
    <w:p w14:paraId="674E00D0" w14:textId="77777777" w:rsidR="007304D5" w:rsidRDefault="007304D5" w:rsidP="00766B05">
      <w:pPr>
        <w:widowControl/>
        <w:adjustRightInd w:val="0"/>
        <w:ind w:left="120"/>
        <w:jc w:val="both"/>
        <w:rPr>
          <w:rFonts w:asciiTheme="minorHAnsi" w:eastAsiaTheme="minorHAnsi" w:hAnsiTheme="minorHAnsi" w:cstheme="minorHAnsi"/>
          <w:sz w:val="21"/>
          <w:szCs w:val="21"/>
        </w:rPr>
      </w:pPr>
    </w:p>
    <w:p w14:paraId="368218BC" w14:textId="77777777" w:rsidR="007304D5" w:rsidRDefault="007304D5" w:rsidP="00766B05">
      <w:pPr>
        <w:widowControl/>
        <w:adjustRightInd w:val="0"/>
        <w:ind w:left="120"/>
        <w:jc w:val="both"/>
        <w:rPr>
          <w:rFonts w:asciiTheme="minorHAnsi" w:eastAsiaTheme="minorHAnsi" w:hAnsiTheme="minorHAnsi" w:cstheme="minorHAnsi"/>
          <w:sz w:val="21"/>
          <w:szCs w:val="21"/>
        </w:rPr>
      </w:pPr>
    </w:p>
    <w:p w14:paraId="69B9B127" w14:textId="45104A46" w:rsidR="004A26B9" w:rsidRPr="005F0AE0" w:rsidRDefault="004A26B9" w:rsidP="00766B05">
      <w:pPr>
        <w:widowControl/>
        <w:adjustRightInd w:val="0"/>
        <w:ind w:left="120"/>
        <w:jc w:val="both"/>
        <w:rPr>
          <w:rFonts w:asciiTheme="minorHAnsi" w:eastAsiaTheme="minorHAnsi" w:hAnsiTheme="minorHAnsi" w:cstheme="minorHAnsi"/>
          <w:b/>
          <w:bCs/>
          <w:sz w:val="21"/>
          <w:szCs w:val="21"/>
        </w:rPr>
      </w:pPr>
      <w:r w:rsidRPr="00562890">
        <w:rPr>
          <w:rFonts w:asciiTheme="minorHAnsi" w:eastAsiaTheme="minorHAnsi" w:hAnsiTheme="minorHAnsi" w:cstheme="minorHAnsi"/>
          <w:b/>
          <w:bCs/>
          <w:sz w:val="21"/>
          <w:szCs w:val="21"/>
        </w:rPr>
        <w:t>Options</w:t>
      </w:r>
    </w:p>
    <w:p w14:paraId="1CFE2A49" w14:textId="28DA4DB3" w:rsidR="004A26B9" w:rsidRPr="005F0AE0" w:rsidRDefault="00811BAB" w:rsidP="00766B05">
      <w:pPr>
        <w:widowControl/>
        <w:adjustRightInd w:val="0"/>
        <w:ind w:left="120"/>
        <w:jc w:val="both"/>
        <w:rPr>
          <w:rFonts w:asciiTheme="minorHAnsi" w:eastAsiaTheme="minorHAnsi" w:hAnsiTheme="minorHAnsi" w:cstheme="minorHAnsi"/>
          <w:sz w:val="21"/>
          <w:szCs w:val="21"/>
        </w:rPr>
      </w:pPr>
      <w:r>
        <w:rPr>
          <w:rFonts w:asciiTheme="minorHAnsi" w:eastAsiaTheme="minorHAnsi" w:hAnsiTheme="minorHAnsi" w:cstheme="minorHAnsi"/>
          <w:sz w:val="21"/>
          <w:szCs w:val="21"/>
        </w:rPr>
        <w:t xml:space="preserve">Tigress </w:t>
      </w:r>
      <w:r w:rsidR="004A26B9" w:rsidRPr="005F0AE0">
        <w:rPr>
          <w:rFonts w:asciiTheme="minorHAnsi" w:eastAsiaTheme="minorHAnsi" w:hAnsiTheme="minorHAnsi" w:cstheme="minorHAnsi"/>
          <w:sz w:val="21"/>
          <w:szCs w:val="21"/>
        </w:rPr>
        <w:t>is a put and call broker-dealer and option writer.</w:t>
      </w:r>
    </w:p>
    <w:p w14:paraId="72C9CBA3" w14:textId="77777777" w:rsidR="000B50A9" w:rsidRPr="005F0AE0" w:rsidRDefault="000B50A9" w:rsidP="00766B05">
      <w:pPr>
        <w:widowControl/>
        <w:adjustRightInd w:val="0"/>
        <w:ind w:left="120"/>
        <w:jc w:val="both"/>
        <w:rPr>
          <w:rFonts w:asciiTheme="minorHAnsi" w:eastAsiaTheme="minorHAnsi" w:hAnsiTheme="minorHAnsi" w:cstheme="minorHAnsi"/>
          <w:sz w:val="21"/>
          <w:szCs w:val="21"/>
        </w:rPr>
      </w:pPr>
    </w:p>
    <w:p w14:paraId="12DE2103" w14:textId="326B72C0" w:rsidR="00DC1711" w:rsidRPr="005F0AE0" w:rsidRDefault="00DC1711" w:rsidP="00766B05">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Options are financial instruments that are derivatives based on the value of underlying securities such as stocks. An options contract offers the buyer the opportunity to buy or sell – depending on the type of contract they hold – the underlying asset. “Call options” allow the holder to buy the asset at a stated price within a specific timeframe. “Put options” allow the holder to sell the asset at a stated price within a specific timeframe. Each option contract will have a specific expiration date by which the holder must exercise their option. The stated price on an option is known as the “strike price”.</w:t>
      </w:r>
    </w:p>
    <w:p w14:paraId="2A5FA6EC" w14:textId="77777777" w:rsidR="0076072D" w:rsidRPr="005F0AE0" w:rsidRDefault="0076072D" w:rsidP="00766B05">
      <w:pPr>
        <w:widowControl/>
        <w:adjustRightInd w:val="0"/>
        <w:rPr>
          <w:rFonts w:asciiTheme="minorHAnsi" w:eastAsiaTheme="minorHAnsi" w:hAnsiTheme="minorHAnsi" w:cstheme="minorHAnsi"/>
          <w:b/>
          <w:bCs/>
          <w:sz w:val="21"/>
          <w:szCs w:val="21"/>
        </w:rPr>
      </w:pPr>
    </w:p>
    <w:p w14:paraId="0740F315" w14:textId="77343EF1" w:rsidR="0076072D" w:rsidRPr="005F0AE0" w:rsidRDefault="0076072D" w:rsidP="00766B05">
      <w:pPr>
        <w:widowControl/>
        <w:adjustRightInd w:val="0"/>
        <w:ind w:firstLine="120"/>
        <w:rPr>
          <w:rFonts w:asciiTheme="minorHAnsi" w:eastAsiaTheme="minorHAnsi" w:hAnsiTheme="minorHAnsi" w:cstheme="minorHAnsi"/>
          <w:b/>
          <w:bCs/>
          <w:sz w:val="21"/>
          <w:szCs w:val="21"/>
        </w:rPr>
      </w:pPr>
      <w:r w:rsidRPr="00562890">
        <w:rPr>
          <w:rFonts w:asciiTheme="minorHAnsi" w:eastAsiaTheme="minorHAnsi" w:hAnsiTheme="minorHAnsi" w:cstheme="minorHAnsi"/>
          <w:b/>
          <w:bCs/>
          <w:sz w:val="21"/>
          <w:szCs w:val="21"/>
        </w:rPr>
        <w:t>Unit Investment Trusts (UITs)</w:t>
      </w:r>
    </w:p>
    <w:p w14:paraId="1D510E36" w14:textId="4C6B7465" w:rsidR="0076072D" w:rsidRPr="005F0AE0" w:rsidRDefault="007304D5" w:rsidP="00766B05">
      <w:pPr>
        <w:widowControl/>
        <w:adjustRightInd w:val="0"/>
        <w:ind w:left="120"/>
        <w:jc w:val="both"/>
        <w:rPr>
          <w:rFonts w:asciiTheme="minorHAnsi" w:eastAsiaTheme="minorHAnsi" w:hAnsiTheme="minorHAnsi" w:cstheme="minorHAnsi"/>
          <w:sz w:val="21"/>
          <w:szCs w:val="21"/>
        </w:rPr>
      </w:pPr>
      <w:r>
        <w:rPr>
          <w:rFonts w:asciiTheme="minorHAnsi" w:eastAsiaTheme="minorHAnsi" w:hAnsiTheme="minorHAnsi" w:cstheme="minorHAnsi"/>
          <w:sz w:val="21"/>
          <w:szCs w:val="21"/>
        </w:rPr>
        <w:t>Tigress</w:t>
      </w:r>
      <w:r w:rsidR="004A26B9" w:rsidRPr="005F0AE0">
        <w:rPr>
          <w:rFonts w:asciiTheme="minorHAnsi" w:eastAsiaTheme="minorHAnsi" w:hAnsiTheme="minorHAnsi" w:cstheme="minorHAnsi"/>
          <w:sz w:val="21"/>
          <w:szCs w:val="21"/>
        </w:rPr>
        <w:t xml:space="preserve">’ </w:t>
      </w:r>
      <w:r w:rsidR="0076072D" w:rsidRPr="005F0AE0">
        <w:rPr>
          <w:rFonts w:asciiTheme="minorHAnsi" w:eastAsiaTheme="minorHAnsi" w:hAnsiTheme="minorHAnsi" w:cstheme="minorHAnsi"/>
          <w:sz w:val="21"/>
          <w:szCs w:val="21"/>
        </w:rPr>
        <w:t>UIT</w:t>
      </w:r>
      <w:r w:rsidR="00D63C9C" w:rsidRPr="005F0AE0">
        <w:rPr>
          <w:rFonts w:asciiTheme="minorHAnsi" w:eastAsiaTheme="minorHAnsi" w:hAnsiTheme="minorHAnsi" w:cstheme="minorHAnsi"/>
          <w:sz w:val="21"/>
          <w:szCs w:val="21"/>
        </w:rPr>
        <w:t xml:space="preserve"> product offering</w:t>
      </w:r>
      <w:r w:rsidR="0076072D" w:rsidRPr="005F0AE0">
        <w:rPr>
          <w:rFonts w:asciiTheme="minorHAnsi" w:eastAsiaTheme="minorHAnsi" w:hAnsiTheme="minorHAnsi" w:cstheme="minorHAnsi"/>
          <w:sz w:val="21"/>
          <w:szCs w:val="21"/>
        </w:rPr>
        <w:t xml:space="preserve">s consist of Equity and Fixed-Income UITs. </w:t>
      </w:r>
    </w:p>
    <w:p w14:paraId="1C23D165" w14:textId="2524D54D" w:rsidR="00DC1711" w:rsidRPr="005F0AE0" w:rsidRDefault="00DC1711" w:rsidP="00766B05">
      <w:pPr>
        <w:widowControl/>
        <w:adjustRightInd w:val="0"/>
        <w:ind w:left="120"/>
        <w:jc w:val="both"/>
        <w:rPr>
          <w:rFonts w:asciiTheme="minorHAnsi" w:eastAsiaTheme="minorHAnsi" w:hAnsiTheme="minorHAnsi" w:cstheme="minorHAnsi"/>
          <w:sz w:val="21"/>
          <w:szCs w:val="21"/>
        </w:rPr>
      </w:pPr>
    </w:p>
    <w:p w14:paraId="3E8DD18C" w14:textId="2D1B5C82" w:rsidR="00114122" w:rsidRPr="005F0AE0" w:rsidRDefault="00114122" w:rsidP="00766B05">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A unit investment trust (UIT) is a US financial company that buys or holds a group of securities, also known as a portfolio of securities, such as stocks or bonds, and makes them available to investors as redeemable units. UITs are similar to mutual funds in that they consist of collective investments in which many investors combine their funds to be managed by a portfolio manager. UITs are bought and sold directly from the company that issues them or, in some instances, through the secondary market. UITs have a stated expiration date based on what investments are held in its portfolio; when the portfolio terminates investors get their cut of the UITs net assets. Also, unlike mutual funds, UITs are not actively traded, meaning securities in the portfolio are not bought or sold unless there is a change in the underlying investment, such as a corporate merger or bankruptcy.</w:t>
      </w:r>
    </w:p>
    <w:p w14:paraId="3C1C9B5D" w14:textId="77777777" w:rsidR="00114122" w:rsidRDefault="00114122" w:rsidP="00766B05">
      <w:pPr>
        <w:widowControl/>
        <w:adjustRightInd w:val="0"/>
        <w:ind w:left="120"/>
        <w:jc w:val="both"/>
        <w:rPr>
          <w:rFonts w:asciiTheme="minorHAnsi" w:eastAsiaTheme="minorHAnsi" w:hAnsiTheme="minorHAnsi" w:cstheme="minorHAnsi"/>
          <w:sz w:val="21"/>
          <w:szCs w:val="21"/>
        </w:rPr>
      </w:pPr>
    </w:p>
    <w:p w14:paraId="63C86AF1" w14:textId="0B3B2251" w:rsidR="00175F83" w:rsidRPr="00562890" w:rsidRDefault="00175F83" w:rsidP="00766B05">
      <w:pPr>
        <w:widowControl/>
        <w:adjustRightInd w:val="0"/>
        <w:ind w:left="120"/>
        <w:jc w:val="both"/>
        <w:rPr>
          <w:rFonts w:asciiTheme="minorHAnsi" w:eastAsiaTheme="minorHAnsi" w:hAnsiTheme="minorHAnsi" w:cstheme="minorHAnsi"/>
          <w:b/>
          <w:bCs/>
          <w:sz w:val="21"/>
          <w:szCs w:val="21"/>
        </w:rPr>
      </w:pPr>
      <w:r w:rsidRPr="00562890">
        <w:rPr>
          <w:rFonts w:asciiTheme="minorHAnsi" w:eastAsiaTheme="minorHAnsi" w:hAnsiTheme="minorHAnsi" w:cstheme="minorHAnsi"/>
          <w:b/>
          <w:bCs/>
          <w:sz w:val="21"/>
          <w:szCs w:val="21"/>
        </w:rPr>
        <w:t>Underwriter</w:t>
      </w:r>
    </w:p>
    <w:p w14:paraId="64D5CCA5" w14:textId="77777777" w:rsidR="00FD2300" w:rsidRDefault="00175F83" w:rsidP="00766B05">
      <w:pPr>
        <w:widowControl/>
        <w:adjustRightInd w:val="0"/>
        <w:ind w:left="120"/>
        <w:jc w:val="both"/>
        <w:rPr>
          <w:rFonts w:asciiTheme="minorHAnsi" w:eastAsiaTheme="minorHAnsi" w:hAnsiTheme="minorHAnsi" w:cstheme="minorHAnsi"/>
          <w:sz w:val="21"/>
          <w:szCs w:val="21"/>
        </w:rPr>
      </w:pPr>
      <w:r w:rsidRPr="00175F83">
        <w:rPr>
          <w:rFonts w:asciiTheme="minorHAnsi" w:eastAsiaTheme="minorHAnsi" w:hAnsiTheme="minorHAnsi" w:cstheme="minorHAnsi"/>
          <w:sz w:val="21"/>
          <w:szCs w:val="21"/>
        </w:rPr>
        <w:t>Tigress is a broker-dealer authorized to transact in underwriting as a selling group participant on a best efforts basis and/or firm commitment basis</w:t>
      </w:r>
      <w:r>
        <w:rPr>
          <w:rFonts w:asciiTheme="minorHAnsi" w:eastAsiaTheme="minorHAnsi" w:hAnsiTheme="minorHAnsi" w:cstheme="minorHAnsi"/>
          <w:sz w:val="21"/>
          <w:szCs w:val="21"/>
        </w:rPr>
        <w:t>.</w:t>
      </w:r>
    </w:p>
    <w:p w14:paraId="4669774E" w14:textId="77777777" w:rsidR="00FD2300" w:rsidRDefault="00FD2300" w:rsidP="00766B05">
      <w:pPr>
        <w:widowControl/>
        <w:adjustRightInd w:val="0"/>
        <w:ind w:left="120"/>
        <w:jc w:val="both"/>
        <w:rPr>
          <w:rFonts w:asciiTheme="minorHAnsi" w:eastAsiaTheme="minorHAnsi" w:hAnsiTheme="minorHAnsi" w:cstheme="minorHAnsi"/>
          <w:sz w:val="21"/>
          <w:szCs w:val="21"/>
        </w:rPr>
      </w:pPr>
    </w:p>
    <w:p w14:paraId="0203D1A8" w14:textId="60FC5901" w:rsidR="00FD2300" w:rsidRPr="00562890" w:rsidRDefault="00562890" w:rsidP="00766B05">
      <w:pPr>
        <w:widowControl/>
        <w:adjustRightInd w:val="0"/>
        <w:ind w:left="120"/>
        <w:jc w:val="both"/>
        <w:rPr>
          <w:rFonts w:asciiTheme="minorHAnsi" w:eastAsiaTheme="minorHAnsi" w:hAnsiTheme="minorHAnsi" w:cstheme="minorHAnsi"/>
          <w:sz w:val="21"/>
          <w:szCs w:val="21"/>
        </w:rPr>
      </w:pPr>
      <w:r>
        <w:rPr>
          <w:rFonts w:asciiTheme="minorHAnsi" w:eastAsiaTheme="minorHAnsi" w:hAnsiTheme="minorHAnsi" w:cstheme="minorHAnsi"/>
          <w:sz w:val="21"/>
          <w:szCs w:val="21"/>
        </w:rPr>
        <w:t>An u</w:t>
      </w:r>
      <w:r w:rsidR="00FD2300" w:rsidRPr="00562890">
        <w:rPr>
          <w:rFonts w:asciiTheme="minorHAnsi" w:eastAsiaTheme="minorHAnsi" w:hAnsiTheme="minorHAnsi" w:cstheme="minorHAnsi"/>
          <w:sz w:val="21"/>
          <w:szCs w:val="21"/>
        </w:rPr>
        <w:t>nderwriting is the offering or sale for an issuer or an affiliate of the issuer in connection with a distribution of securities; or participates, directly or indirectly, in a distribution of securities from the issuer or an affiliate of the issuer to the investing public. </w:t>
      </w:r>
    </w:p>
    <w:p w14:paraId="6BC24DA8" w14:textId="77777777" w:rsidR="00FD2300" w:rsidRDefault="00FD2300" w:rsidP="00766B05">
      <w:pPr>
        <w:widowControl/>
        <w:adjustRightInd w:val="0"/>
        <w:ind w:left="120"/>
        <w:jc w:val="both"/>
        <w:rPr>
          <w:rFonts w:ascii="Verdana" w:hAnsi="Verdana"/>
          <w:color w:val="454545"/>
          <w:sz w:val="20"/>
          <w:szCs w:val="20"/>
          <w:shd w:val="clear" w:color="auto" w:fill="FFFFFF"/>
        </w:rPr>
      </w:pPr>
    </w:p>
    <w:p w14:paraId="6AB3A0F2" w14:textId="262D35E3" w:rsidR="004A26B9" w:rsidRPr="005F0AE0" w:rsidRDefault="004A26B9" w:rsidP="00766B05">
      <w:pPr>
        <w:widowControl/>
        <w:adjustRightInd w:val="0"/>
        <w:ind w:left="120"/>
        <w:jc w:val="both"/>
        <w:rPr>
          <w:rFonts w:asciiTheme="minorHAnsi" w:eastAsiaTheme="minorHAnsi" w:hAnsiTheme="minorHAnsi" w:cstheme="minorHAnsi"/>
          <w:b/>
          <w:bCs/>
          <w:sz w:val="21"/>
          <w:szCs w:val="21"/>
        </w:rPr>
      </w:pPr>
      <w:r w:rsidRPr="00562890">
        <w:rPr>
          <w:rFonts w:asciiTheme="minorHAnsi" w:eastAsiaTheme="minorHAnsi" w:hAnsiTheme="minorHAnsi" w:cstheme="minorHAnsi"/>
          <w:b/>
          <w:bCs/>
          <w:sz w:val="21"/>
          <w:szCs w:val="21"/>
        </w:rPr>
        <w:t>Private Placements</w:t>
      </w:r>
    </w:p>
    <w:p w14:paraId="2F78FBCA" w14:textId="0B67FDF5" w:rsidR="004A26B9" w:rsidRPr="005F0AE0" w:rsidRDefault="00811BAB" w:rsidP="00766B05">
      <w:pPr>
        <w:widowControl/>
        <w:adjustRightInd w:val="0"/>
        <w:ind w:left="120"/>
        <w:jc w:val="both"/>
        <w:rPr>
          <w:rFonts w:asciiTheme="minorHAnsi" w:eastAsiaTheme="minorHAnsi" w:hAnsiTheme="minorHAnsi" w:cstheme="minorHAnsi"/>
          <w:sz w:val="21"/>
          <w:szCs w:val="21"/>
        </w:rPr>
      </w:pPr>
      <w:r>
        <w:rPr>
          <w:rFonts w:asciiTheme="minorHAnsi" w:eastAsiaTheme="minorHAnsi" w:hAnsiTheme="minorHAnsi" w:cstheme="minorHAnsi"/>
          <w:sz w:val="21"/>
          <w:szCs w:val="21"/>
        </w:rPr>
        <w:t xml:space="preserve">Tigress </w:t>
      </w:r>
      <w:r w:rsidR="004A26B9" w:rsidRPr="005F0AE0">
        <w:rPr>
          <w:rFonts w:asciiTheme="minorHAnsi" w:eastAsiaTheme="minorHAnsi" w:hAnsiTheme="minorHAnsi" w:cstheme="minorHAnsi"/>
          <w:sz w:val="21"/>
          <w:szCs w:val="21"/>
        </w:rPr>
        <w:t xml:space="preserve">is a broker-dealer authorized to transact in </w:t>
      </w:r>
      <w:r w:rsidR="000645E3" w:rsidRPr="005F0AE0">
        <w:rPr>
          <w:rFonts w:asciiTheme="minorHAnsi" w:eastAsiaTheme="minorHAnsi" w:hAnsiTheme="minorHAnsi" w:cstheme="minorHAnsi"/>
          <w:sz w:val="21"/>
          <w:szCs w:val="21"/>
        </w:rPr>
        <w:t>private placements of securities.</w:t>
      </w:r>
    </w:p>
    <w:p w14:paraId="2FE838D0" w14:textId="7AD856CE" w:rsidR="005A5BBF" w:rsidRPr="005F0AE0" w:rsidRDefault="005A5BBF" w:rsidP="00766B05">
      <w:pPr>
        <w:widowControl/>
        <w:adjustRightInd w:val="0"/>
        <w:ind w:left="120"/>
        <w:jc w:val="both"/>
        <w:rPr>
          <w:rFonts w:asciiTheme="minorHAnsi" w:eastAsiaTheme="minorHAnsi" w:hAnsiTheme="minorHAnsi" w:cstheme="minorHAnsi"/>
          <w:sz w:val="21"/>
          <w:szCs w:val="21"/>
        </w:rPr>
      </w:pPr>
    </w:p>
    <w:p w14:paraId="58871578" w14:textId="1041C186" w:rsidR="005A5BBF" w:rsidRDefault="005A5BBF" w:rsidP="00766B05">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 xml:space="preserve">A private placement is a sale of stock shares or bonds to </w:t>
      </w:r>
      <w:r w:rsidR="00E7421C" w:rsidRPr="005F0AE0">
        <w:rPr>
          <w:rFonts w:asciiTheme="minorHAnsi" w:eastAsiaTheme="minorHAnsi" w:hAnsiTheme="minorHAnsi" w:cstheme="minorHAnsi"/>
          <w:sz w:val="21"/>
          <w:szCs w:val="21"/>
        </w:rPr>
        <w:t xml:space="preserve">a </w:t>
      </w:r>
      <w:r w:rsidRPr="005F0AE0">
        <w:rPr>
          <w:rFonts w:asciiTheme="minorHAnsi" w:eastAsiaTheme="minorHAnsi" w:hAnsiTheme="minorHAnsi" w:cstheme="minorHAnsi"/>
          <w:sz w:val="21"/>
          <w:szCs w:val="21"/>
        </w:rPr>
        <w:t>pre-selected</w:t>
      </w:r>
      <w:r w:rsidR="00E7421C" w:rsidRPr="005F0AE0">
        <w:rPr>
          <w:rFonts w:asciiTheme="minorHAnsi" w:eastAsiaTheme="minorHAnsi" w:hAnsiTheme="minorHAnsi" w:cstheme="minorHAnsi"/>
          <w:sz w:val="21"/>
          <w:szCs w:val="21"/>
        </w:rPr>
        <w:t xml:space="preserve"> number of</w:t>
      </w:r>
      <w:r w:rsidRPr="005F0AE0">
        <w:rPr>
          <w:rFonts w:asciiTheme="minorHAnsi" w:eastAsiaTheme="minorHAnsi" w:hAnsiTheme="minorHAnsi" w:cstheme="minorHAnsi"/>
          <w:sz w:val="21"/>
          <w:szCs w:val="21"/>
        </w:rPr>
        <w:t xml:space="preserve"> in</w:t>
      </w:r>
      <w:r w:rsidR="00E7421C" w:rsidRPr="005F0AE0">
        <w:rPr>
          <w:rFonts w:asciiTheme="minorHAnsi" w:eastAsiaTheme="minorHAnsi" w:hAnsiTheme="minorHAnsi" w:cstheme="minorHAnsi"/>
          <w:sz w:val="21"/>
          <w:szCs w:val="21"/>
        </w:rPr>
        <w:t>dividual in</w:t>
      </w:r>
      <w:r w:rsidRPr="005F0AE0">
        <w:rPr>
          <w:rFonts w:asciiTheme="minorHAnsi" w:eastAsiaTheme="minorHAnsi" w:hAnsiTheme="minorHAnsi" w:cstheme="minorHAnsi"/>
          <w:sz w:val="21"/>
          <w:szCs w:val="21"/>
        </w:rPr>
        <w:t>vestors and institutions rather than on the open market</w:t>
      </w:r>
      <w:r w:rsidR="00E7421C" w:rsidRPr="005F0AE0">
        <w:rPr>
          <w:rFonts w:asciiTheme="minorHAnsi" w:eastAsiaTheme="minorHAnsi" w:hAnsiTheme="minorHAnsi" w:cstheme="minorHAnsi"/>
          <w:sz w:val="21"/>
          <w:szCs w:val="21"/>
        </w:rPr>
        <w:t>. It is an alternative to an initial public offering (IPO) for a company seeking to raise capital for expansion. Private sales are now common for startups as they allow the company to obtain the money they need to grow while delaying or foregoing an IPO. Investors invited to participate in private placement programs include wealthy individual investors, banks and other financial institutions, mutual funds, insurance companies, and pension funds.</w:t>
      </w:r>
    </w:p>
    <w:p w14:paraId="3CCD1C3B" w14:textId="77777777" w:rsidR="00562890" w:rsidRDefault="00562890" w:rsidP="00766B05">
      <w:pPr>
        <w:widowControl/>
        <w:adjustRightInd w:val="0"/>
        <w:ind w:left="120"/>
        <w:jc w:val="both"/>
        <w:rPr>
          <w:rFonts w:asciiTheme="minorHAnsi" w:eastAsiaTheme="minorHAnsi" w:hAnsiTheme="minorHAnsi" w:cstheme="minorHAnsi"/>
          <w:sz w:val="21"/>
          <w:szCs w:val="21"/>
        </w:rPr>
      </w:pPr>
    </w:p>
    <w:p w14:paraId="23C0DF86" w14:textId="77777777" w:rsidR="00562890" w:rsidRDefault="00562890" w:rsidP="00766B05">
      <w:pPr>
        <w:widowControl/>
        <w:adjustRightInd w:val="0"/>
        <w:ind w:left="120"/>
        <w:jc w:val="both"/>
        <w:rPr>
          <w:rFonts w:asciiTheme="minorHAnsi" w:eastAsiaTheme="minorHAnsi" w:hAnsiTheme="minorHAnsi" w:cstheme="minorHAnsi"/>
          <w:sz w:val="21"/>
          <w:szCs w:val="21"/>
        </w:rPr>
      </w:pPr>
    </w:p>
    <w:p w14:paraId="394BD439" w14:textId="77777777" w:rsidR="00562890" w:rsidRDefault="00562890" w:rsidP="00766B05">
      <w:pPr>
        <w:widowControl/>
        <w:adjustRightInd w:val="0"/>
        <w:ind w:left="120"/>
        <w:jc w:val="both"/>
        <w:rPr>
          <w:rFonts w:asciiTheme="minorHAnsi" w:eastAsiaTheme="minorHAnsi" w:hAnsiTheme="minorHAnsi" w:cstheme="minorHAnsi"/>
          <w:sz w:val="21"/>
          <w:szCs w:val="21"/>
        </w:rPr>
      </w:pPr>
    </w:p>
    <w:p w14:paraId="2D195F8E" w14:textId="77777777" w:rsidR="00562890" w:rsidRDefault="00562890" w:rsidP="00766B05">
      <w:pPr>
        <w:widowControl/>
        <w:adjustRightInd w:val="0"/>
        <w:ind w:left="120"/>
        <w:jc w:val="both"/>
        <w:rPr>
          <w:rFonts w:asciiTheme="minorHAnsi" w:eastAsiaTheme="minorHAnsi" w:hAnsiTheme="minorHAnsi" w:cstheme="minorHAnsi"/>
          <w:sz w:val="21"/>
          <w:szCs w:val="21"/>
        </w:rPr>
      </w:pPr>
    </w:p>
    <w:p w14:paraId="4173A40D" w14:textId="77777777" w:rsidR="00562890" w:rsidRDefault="00562890" w:rsidP="00766B05">
      <w:pPr>
        <w:widowControl/>
        <w:adjustRightInd w:val="0"/>
        <w:ind w:left="120"/>
        <w:jc w:val="both"/>
        <w:rPr>
          <w:rFonts w:asciiTheme="minorHAnsi" w:eastAsiaTheme="minorHAnsi" w:hAnsiTheme="minorHAnsi" w:cstheme="minorHAnsi"/>
          <w:sz w:val="21"/>
          <w:szCs w:val="21"/>
        </w:rPr>
      </w:pPr>
    </w:p>
    <w:p w14:paraId="0C695BEB" w14:textId="77777777" w:rsidR="00562890" w:rsidRDefault="00562890" w:rsidP="00766B05">
      <w:pPr>
        <w:widowControl/>
        <w:adjustRightInd w:val="0"/>
        <w:ind w:left="120"/>
        <w:jc w:val="both"/>
        <w:rPr>
          <w:rFonts w:asciiTheme="minorHAnsi" w:eastAsiaTheme="minorHAnsi" w:hAnsiTheme="minorHAnsi" w:cstheme="minorHAnsi"/>
          <w:sz w:val="21"/>
          <w:szCs w:val="21"/>
        </w:rPr>
      </w:pPr>
    </w:p>
    <w:p w14:paraId="7F2F154C" w14:textId="77777777" w:rsidR="00562890" w:rsidRDefault="00562890" w:rsidP="00766B05">
      <w:pPr>
        <w:widowControl/>
        <w:adjustRightInd w:val="0"/>
        <w:ind w:left="120"/>
        <w:jc w:val="both"/>
        <w:rPr>
          <w:rFonts w:asciiTheme="minorHAnsi" w:eastAsiaTheme="minorHAnsi" w:hAnsiTheme="minorHAnsi" w:cstheme="minorHAnsi"/>
          <w:sz w:val="21"/>
          <w:szCs w:val="21"/>
        </w:rPr>
      </w:pPr>
    </w:p>
    <w:p w14:paraId="36D03C04" w14:textId="577002FA" w:rsidR="00562890" w:rsidRPr="00562890" w:rsidRDefault="00562890" w:rsidP="00766B05">
      <w:pPr>
        <w:widowControl/>
        <w:adjustRightInd w:val="0"/>
        <w:ind w:left="120"/>
        <w:jc w:val="both"/>
        <w:rPr>
          <w:rFonts w:asciiTheme="minorHAnsi" w:eastAsiaTheme="minorHAnsi" w:hAnsiTheme="minorHAnsi" w:cstheme="minorHAnsi"/>
          <w:b/>
          <w:bCs/>
          <w:sz w:val="21"/>
          <w:szCs w:val="21"/>
        </w:rPr>
      </w:pPr>
      <w:r w:rsidRPr="00562890">
        <w:rPr>
          <w:rFonts w:asciiTheme="minorHAnsi" w:eastAsiaTheme="minorHAnsi" w:hAnsiTheme="minorHAnsi" w:cstheme="minorHAnsi"/>
          <w:b/>
          <w:bCs/>
          <w:sz w:val="21"/>
          <w:szCs w:val="21"/>
        </w:rPr>
        <w:t>Municipal Underwriter</w:t>
      </w:r>
    </w:p>
    <w:p w14:paraId="475D66F6" w14:textId="2F1BE43F" w:rsidR="00562890" w:rsidRDefault="00562890" w:rsidP="00766B05">
      <w:pPr>
        <w:widowControl/>
        <w:adjustRightInd w:val="0"/>
        <w:ind w:left="120"/>
        <w:jc w:val="both"/>
        <w:rPr>
          <w:rFonts w:asciiTheme="minorHAnsi" w:eastAsiaTheme="minorHAnsi" w:hAnsiTheme="minorHAnsi" w:cstheme="minorHAnsi"/>
          <w:sz w:val="21"/>
          <w:szCs w:val="21"/>
        </w:rPr>
      </w:pPr>
      <w:r>
        <w:rPr>
          <w:rFonts w:asciiTheme="minorHAnsi" w:eastAsiaTheme="minorHAnsi" w:hAnsiTheme="minorHAnsi" w:cstheme="minorHAnsi"/>
          <w:sz w:val="21"/>
          <w:szCs w:val="21"/>
        </w:rPr>
        <w:t>Tigress is a broker-dealer authorized to transact in municipal securities underwriting as a co-manager and/or syndicate participant</w:t>
      </w:r>
    </w:p>
    <w:p w14:paraId="477BE2EE" w14:textId="77777777" w:rsidR="00562890" w:rsidRDefault="00562890" w:rsidP="00766B05">
      <w:pPr>
        <w:widowControl/>
        <w:adjustRightInd w:val="0"/>
        <w:ind w:left="120"/>
        <w:jc w:val="both"/>
        <w:rPr>
          <w:rFonts w:asciiTheme="minorHAnsi" w:eastAsiaTheme="minorHAnsi" w:hAnsiTheme="minorHAnsi" w:cstheme="minorHAnsi"/>
          <w:sz w:val="21"/>
          <w:szCs w:val="21"/>
        </w:rPr>
      </w:pPr>
    </w:p>
    <w:p w14:paraId="6543CBCC" w14:textId="23F9AF77" w:rsidR="00562890" w:rsidRDefault="00562890" w:rsidP="00766B05">
      <w:pPr>
        <w:widowControl/>
        <w:adjustRightInd w:val="0"/>
        <w:ind w:left="120"/>
        <w:jc w:val="both"/>
        <w:rPr>
          <w:rFonts w:asciiTheme="minorHAnsi" w:eastAsiaTheme="minorHAnsi" w:hAnsiTheme="minorHAnsi" w:cstheme="minorHAnsi"/>
          <w:sz w:val="21"/>
          <w:szCs w:val="21"/>
        </w:rPr>
      </w:pPr>
      <w:r>
        <w:rPr>
          <w:rFonts w:asciiTheme="minorHAnsi" w:eastAsiaTheme="minorHAnsi" w:hAnsiTheme="minorHAnsi" w:cstheme="minorHAnsi"/>
          <w:sz w:val="21"/>
          <w:szCs w:val="21"/>
        </w:rPr>
        <w:t>A m</w:t>
      </w:r>
      <w:r w:rsidRPr="00562890">
        <w:rPr>
          <w:rFonts w:asciiTheme="minorHAnsi" w:eastAsiaTheme="minorHAnsi" w:hAnsiTheme="minorHAnsi" w:cstheme="minorHAnsi"/>
          <w:sz w:val="21"/>
          <w:szCs w:val="21"/>
        </w:rPr>
        <w:t>unicipal bond underwriting is the process of raising funds for a municipality by creating a new security to be sold to investors. Through this process, the issuing municipality receives the needed funds at the time of the bond sale by selling new municipal bonds that will be repaid sometime in the future.</w:t>
      </w:r>
    </w:p>
    <w:p w14:paraId="74EE488B" w14:textId="77777777" w:rsidR="00562890" w:rsidRDefault="00562890" w:rsidP="00766B05">
      <w:pPr>
        <w:widowControl/>
        <w:adjustRightInd w:val="0"/>
        <w:ind w:left="120"/>
        <w:jc w:val="both"/>
        <w:rPr>
          <w:rFonts w:asciiTheme="minorHAnsi" w:eastAsiaTheme="minorHAnsi" w:hAnsiTheme="minorHAnsi" w:cstheme="minorHAnsi"/>
          <w:sz w:val="21"/>
          <w:szCs w:val="21"/>
        </w:rPr>
      </w:pPr>
    </w:p>
    <w:p w14:paraId="35A13DA1" w14:textId="2E630863" w:rsidR="005948A9" w:rsidRPr="009F29B9" w:rsidRDefault="0087513E" w:rsidP="005B77CF">
      <w:pPr>
        <w:pStyle w:val="Heading1"/>
        <w:ind w:left="0"/>
        <w:jc w:val="both"/>
        <w:rPr>
          <w:rFonts w:asciiTheme="minorHAnsi" w:hAnsiTheme="minorHAnsi" w:cstheme="minorHAnsi"/>
          <w:sz w:val="32"/>
          <w:szCs w:val="32"/>
          <w:u w:val="none"/>
        </w:rPr>
      </w:pPr>
      <w:bookmarkStart w:id="9" w:name="_Toc38290470"/>
      <w:r w:rsidRPr="009F29B9">
        <w:rPr>
          <w:rFonts w:asciiTheme="minorHAnsi" w:hAnsiTheme="minorHAnsi" w:cstheme="minorHAnsi"/>
          <w:sz w:val="32"/>
          <w:szCs w:val="32"/>
          <w:u w:val="none"/>
        </w:rPr>
        <w:t xml:space="preserve">Brokerage </w:t>
      </w:r>
      <w:r w:rsidR="009F29B9">
        <w:rPr>
          <w:rFonts w:asciiTheme="minorHAnsi" w:hAnsiTheme="minorHAnsi" w:cstheme="minorHAnsi"/>
          <w:sz w:val="32"/>
          <w:szCs w:val="32"/>
          <w:u w:val="none"/>
        </w:rPr>
        <w:t>F</w:t>
      </w:r>
      <w:r w:rsidR="005948A9" w:rsidRPr="009F29B9">
        <w:rPr>
          <w:rFonts w:asciiTheme="minorHAnsi" w:hAnsiTheme="minorHAnsi" w:cstheme="minorHAnsi"/>
          <w:sz w:val="32"/>
          <w:szCs w:val="32"/>
          <w:u w:val="none"/>
        </w:rPr>
        <w:t>ees</w:t>
      </w:r>
      <w:r w:rsidR="000A729F" w:rsidRPr="009F29B9">
        <w:rPr>
          <w:rFonts w:asciiTheme="minorHAnsi" w:hAnsiTheme="minorHAnsi" w:cstheme="minorHAnsi"/>
          <w:sz w:val="32"/>
          <w:szCs w:val="32"/>
          <w:u w:val="none"/>
        </w:rPr>
        <w:t xml:space="preserve"> and</w:t>
      </w:r>
      <w:r w:rsidR="001C4C59" w:rsidRPr="009F29B9">
        <w:rPr>
          <w:rFonts w:asciiTheme="minorHAnsi" w:hAnsiTheme="minorHAnsi" w:cstheme="minorHAnsi"/>
          <w:sz w:val="32"/>
          <w:szCs w:val="32"/>
          <w:u w:val="none"/>
        </w:rPr>
        <w:t xml:space="preserve"> </w:t>
      </w:r>
      <w:r w:rsidR="009F29B9">
        <w:rPr>
          <w:rFonts w:asciiTheme="minorHAnsi" w:hAnsiTheme="minorHAnsi" w:cstheme="minorHAnsi"/>
          <w:sz w:val="32"/>
          <w:szCs w:val="32"/>
          <w:u w:val="none"/>
        </w:rPr>
        <w:t>O</w:t>
      </w:r>
      <w:r w:rsidR="001C4C59" w:rsidRPr="009F29B9">
        <w:rPr>
          <w:rFonts w:asciiTheme="minorHAnsi" w:hAnsiTheme="minorHAnsi" w:cstheme="minorHAnsi"/>
          <w:sz w:val="32"/>
          <w:szCs w:val="32"/>
          <w:u w:val="none"/>
        </w:rPr>
        <w:t xml:space="preserve">ur </w:t>
      </w:r>
      <w:commentRangeStart w:id="10"/>
      <w:r w:rsidR="009F29B9">
        <w:rPr>
          <w:rFonts w:asciiTheme="minorHAnsi" w:hAnsiTheme="minorHAnsi" w:cstheme="minorHAnsi"/>
          <w:sz w:val="32"/>
          <w:szCs w:val="32"/>
          <w:u w:val="none"/>
        </w:rPr>
        <w:t>C</w:t>
      </w:r>
      <w:r w:rsidR="001C4C59" w:rsidRPr="009F29B9">
        <w:rPr>
          <w:rFonts w:asciiTheme="minorHAnsi" w:hAnsiTheme="minorHAnsi" w:cstheme="minorHAnsi"/>
          <w:sz w:val="32"/>
          <w:szCs w:val="32"/>
          <w:u w:val="none"/>
        </w:rPr>
        <w:t>ompensation</w:t>
      </w:r>
      <w:bookmarkEnd w:id="9"/>
      <w:commentRangeEnd w:id="10"/>
      <w:r w:rsidR="0028253E">
        <w:rPr>
          <w:rStyle w:val="CommentReference"/>
          <w:b w:val="0"/>
          <w:bCs w:val="0"/>
          <w:u w:val="none"/>
        </w:rPr>
        <w:commentReference w:id="10"/>
      </w:r>
    </w:p>
    <w:p w14:paraId="19D686C4" w14:textId="630BACF6" w:rsidR="00386410" w:rsidRPr="005F0AE0" w:rsidRDefault="00BD6DA9" w:rsidP="00766B05">
      <w:pPr>
        <w:pStyle w:val="Default0"/>
        <w:ind w:left="90"/>
        <w:jc w:val="both"/>
        <w:rPr>
          <w:rFonts w:asciiTheme="minorHAnsi" w:eastAsia="Arial" w:hAnsiTheme="minorHAnsi" w:cstheme="minorHAnsi"/>
          <w:bCs/>
          <w:color w:val="auto"/>
          <w:sz w:val="21"/>
          <w:szCs w:val="21"/>
        </w:rPr>
      </w:pPr>
      <w:r w:rsidRPr="005F0AE0">
        <w:rPr>
          <w:rFonts w:asciiTheme="minorHAnsi" w:eastAsia="Arial" w:hAnsiTheme="minorHAnsi" w:cstheme="minorHAnsi"/>
          <w:bCs/>
          <w:color w:val="auto"/>
          <w:sz w:val="21"/>
          <w:szCs w:val="21"/>
        </w:rPr>
        <w:t>It is important to consider that while a</w:t>
      </w:r>
      <w:r w:rsidR="0087513E" w:rsidRPr="005F0AE0">
        <w:rPr>
          <w:rFonts w:asciiTheme="minorHAnsi" w:eastAsia="Arial" w:hAnsiTheme="minorHAnsi" w:cstheme="minorHAnsi"/>
          <w:bCs/>
          <w:color w:val="auto"/>
          <w:sz w:val="21"/>
          <w:szCs w:val="21"/>
        </w:rPr>
        <w:t xml:space="preserve"> </w:t>
      </w:r>
      <w:r w:rsidRPr="005F0AE0">
        <w:rPr>
          <w:rFonts w:asciiTheme="minorHAnsi" w:eastAsia="Arial" w:hAnsiTheme="minorHAnsi" w:cstheme="minorHAnsi"/>
          <w:bCs/>
          <w:color w:val="auto"/>
          <w:sz w:val="21"/>
          <w:szCs w:val="21"/>
        </w:rPr>
        <w:t xml:space="preserve">brokerage relationship can be a cost-effective way of investing your assets, </w:t>
      </w:r>
      <w:r w:rsidR="00DD1176" w:rsidRPr="005F0AE0">
        <w:rPr>
          <w:rFonts w:asciiTheme="minorHAnsi" w:eastAsia="Arial" w:hAnsiTheme="minorHAnsi" w:cstheme="minorHAnsi"/>
          <w:bCs/>
          <w:color w:val="auto"/>
          <w:sz w:val="21"/>
          <w:szCs w:val="21"/>
        </w:rPr>
        <w:t>a brokerage account</w:t>
      </w:r>
      <w:r w:rsidRPr="005F0AE0">
        <w:rPr>
          <w:rFonts w:asciiTheme="minorHAnsi" w:eastAsia="Arial" w:hAnsiTheme="minorHAnsi" w:cstheme="minorHAnsi"/>
          <w:bCs/>
          <w:color w:val="auto"/>
          <w:sz w:val="21"/>
          <w:szCs w:val="21"/>
        </w:rPr>
        <w:t xml:space="preserve"> </w:t>
      </w:r>
      <w:r w:rsidR="00DD1176" w:rsidRPr="005F0AE0">
        <w:rPr>
          <w:rFonts w:asciiTheme="minorHAnsi" w:eastAsia="Arial" w:hAnsiTheme="minorHAnsi" w:cstheme="minorHAnsi"/>
          <w:bCs/>
          <w:color w:val="auto"/>
          <w:sz w:val="21"/>
          <w:szCs w:val="21"/>
        </w:rPr>
        <w:t>may</w:t>
      </w:r>
      <w:r w:rsidRPr="005F0AE0">
        <w:rPr>
          <w:rFonts w:asciiTheme="minorHAnsi" w:eastAsia="Arial" w:hAnsiTheme="minorHAnsi" w:cstheme="minorHAnsi"/>
          <w:bCs/>
          <w:color w:val="auto"/>
          <w:sz w:val="21"/>
          <w:szCs w:val="21"/>
        </w:rPr>
        <w:t xml:space="preserve"> not</w:t>
      </w:r>
      <w:r w:rsidR="00DD1176" w:rsidRPr="005F0AE0">
        <w:rPr>
          <w:rFonts w:asciiTheme="minorHAnsi" w:eastAsia="Arial" w:hAnsiTheme="minorHAnsi" w:cstheme="minorHAnsi"/>
          <w:bCs/>
          <w:color w:val="auto"/>
          <w:sz w:val="21"/>
          <w:szCs w:val="21"/>
        </w:rPr>
        <w:t xml:space="preserve"> be the right choice</w:t>
      </w:r>
      <w:r w:rsidRPr="005F0AE0">
        <w:rPr>
          <w:rFonts w:asciiTheme="minorHAnsi" w:eastAsia="Arial" w:hAnsiTheme="minorHAnsi" w:cstheme="minorHAnsi"/>
          <w:bCs/>
          <w:color w:val="auto"/>
          <w:sz w:val="21"/>
          <w:szCs w:val="21"/>
        </w:rPr>
        <w:t xml:space="preserve"> for everyone given the</w:t>
      </w:r>
      <w:r w:rsidR="00E44403" w:rsidRPr="005F0AE0">
        <w:rPr>
          <w:rFonts w:asciiTheme="minorHAnsi" w:eastAsia="Arial" w:hAnsiTheme="minorHAnsi" w:cstheme="minorHAnsi"/>
          <w:bCs/>
          <w:color w:val="auto"/>
          <w:sz w:val="21"/>
          <w:szCs w:val="21"/>
        </w:rPr>
        <w:t xml:space="preserve"> </w:t>
      </w:r>
      <w:r w:rsidR="00DD1176" w:rsidRPr="005F0AE0">
        <w:rPr>
          <w:rFonts w:asciiTheme="minorHAnsi" w:eastAsia="Arial" w:hAnsiTheme="minorHAnsi" w:cstheme="minorHAnsi"/>
          <w:bCs/>
          <w:color w:val="auto"/>
          <w:sz w:val="21"/>
          <w:szCs w:val="21"/>
        </w:rPr>
        <w:t xml:space="preserve">transactional nature of the account </w:t>
      </w:r>
      <w:r w:rsidR="00E44403" w:rsidRPr="005F0AE0">
        <w:rPr>
          <w:rFonts w:asciiTheme="minorHAnsi" w:eastAsia="Arial" w:hAnsiTheme="minorHAnsi" w:cstheme="minorHAnsi"/>
          <w:bCs/>
          <w:color w:val="auto"/>
          <w:sz w:val="21"/>
          <w:szCs w:val="21"/>
        </w:rPr>
        <w:t xml:space="preserve">fees and </w:t>
      </w:r>
      <w:r w:rsidR="00DD1176" w:rsidRPr="005F0AE0">
        <w:rPr>
          <w:rFonts w:asciiTheme="minorHAnsi" w:eastAsia="Arial" w:hAnsiTheme="minorHAnsi" w:cstheme="minorHAnsi"/>
          <w:bCs/>
          <w:color w:val="auto"/>
          <w:sz w:val="21"/>
          <w:szCs w:val="21"/>
        </w:rPr>
        <w:t xml:space="preserve">associated </w:t>
      </w:r>
      <w:r w:rsidR="00E44403" w:rsidRPr="005F0AE0">
        <w:rPr>
          <w:rFonts w:asciiTheme="minorHAnsi" w:eastAsia="Arial" w:hAnsiTheme="minorHAnsi" w:cstheme="minorHAnsi"/>
          <w:bCs/>
          <w:color w:val="auto"/>
          <w:sz w:val="21"/>
          <w:szCs w:val="21"/>
        </w:rPr>
        <w:t>costs</w:t>
      </w:r>
      <w:r w:rsidRPr="005F0AE0">
        <w:rPr>
          <w:rFonts w:asciiTheme="minorHAnsi" w:eastAsia="Arial" w:hAnsiTheme="minorHAnsi" w:cstheme="minorHAnsi"/>
          <w:bCs/>
          <w:color w:val="auto"/>
          <w:sz w:val="21"/>
          <w:szCs w:val="21"/>
        </w:rPr>
        <w:t xml:space="preserve">. </w:t>
      </w:r>
    </w:p>
    <w:p w14:paraId="55FCBB48" w14:textId="77777777" w:rsidR="00455A9C" w:rsidRPr="005F0AE0" w:rsidRDefault="00455A9C" w:rsidP="00766B05">
      <w:pPr>
        <w:pStyle w:val="Default0"/>
        <w:ind w:left="90"/>
        <w:jc w:val="both"/>
        <w:rPr>
          <w:rFonts w:asciiTheme="minorHAnsi" w:eastAsia="Arial" w:hAnsiTheme="minorHAnsi" w:cstheme="minorHAnsi"/>
          <w:bCs/>
          <w:color w:val="auto"/>
          <w:sz w:val="21"/>
          <w:szCs w:val="21"/>
        </w:rPr>
      </w:pPr>
    </w:p>
    <w:p w14:paraId="5BA9AE31" w14:textId="77777777" w:rsidR="006C594E" w:rsidRPr="005F0AE0" w:rsidRDefault="006C594E" w:rsidP="006C594E">
      <w:pPr>
        <w:pStyle w:val="Default0"/>
        <w:adjustRightInd/>
        <w:ind w:firstLine="90"/>
        <w:rPr>
          <w:rFonts w:asciiTheme="minorHAnsi" w:hAnsiTheme="minorHAnsi" w:cstheme="minorHAnsi"/>
          <w:b/>
          <w:bCs/>
          <w:iCs/>
          <w:color w:val="auto"/>
          <w:sz w:val="21"/>
          <w:szCs w:val="21"/>
        </w:rPr>
      </w:pPr>
      <w:r w:rsidRPr="005F0AE0">
        <w:rPr>
          <w:rFonts w:asciiTheme="minorHAnsi" w:hAnsiTheme="minorHAnsi" w:cstheme="minorHAnsi"/>
          <w:b/>
          <w:bCs/>
          <w:iCs/>
          <w:color w:val="auto"/>
          <w:sz w:val="21"/>
          <w:szCs w:val="21"/>
        </w:rPr>
        <w:t>Transaction-</w:t>
      </w:r>
      <w:r w:rsidR="0087513E" w:rsidRPr="005F0AE0">
        <w:rPr>
          <w:rFonts w:asciiTheme="minorHAnsi" w:hAnsiTheme="minorHAnsi" w:cstheme="minorHAnsi"/>
          <w:b/>
          <w:bCs/>
          <w:iCs/>
          <w:color w:val="auto"/>
          <w:sz w:val="21"/>
          <w:szCs w:val="21"/>
        </w:rPr>
        <w:t>B</w:t>
      </w:r>
      <w:r w:rsidRPr="005F0AE0">
        <w:rPr>
          <w:rFonts w:asciiTheme="minorHAnsi" w:hAnsiTheme="minorHAnsi" w:cstheme="minorHAnsi"/>
          <w:b/>
          <w:bCs/>
          <w:iCs/>
          <w:color w:val="auto"/>
          <w:sz w:val="21"/>
          <w:szCs w:val="21"/>
        </w:rPr>
        <w:t xml:space="preserve">ased </w:t>
      </w:r>
      <w:r w:rsidR="00652F3D" w:rsidRPr="005F0AE0">
        <w:rPr>
          <w:rFonts w:asciiTheme="minorHAnsi" w:hAnsiTheme="minorHAnsi" w:cstheme="minorHAnsi"/>
          <w:b/>
          <w:bCs/>
          <w:iCs/>
          <w:color w:val="auto"/>
          <w:sz w:val="21"/>
          <w:szCs w:val="21"/>
        </w:rPr>
        <w:t>Fees</w:t>
      </w:r>
    </w:p>
    <w:p w14:paraId="178C835E" w14:textId="7D7A2BD1" w:rsidR="0087513E" w:rsidRPr="005F0AE0" w:rsidRDefault="009A5D48" w:rsidP="006B6FAD">
      <w:pPr>
        <w:pStyle w:val="Default0"/>
        <w:ind w:left="120"/>
        <w:jc w:val="both"/>
        <w:rPr>
          <w:rFonts w:asciiTheme="minorHAnsi" w:eastAsia="Arial" w:hAnsiTheme="minorHAnsi" w:cstheme="minorHAnsi"/>
          <w:bCs/>
          <w:color w:val="auto"/>
          <w:sz w:val="21"/>
          <w:szCs w:val="21"/>
        </w:rPr>
      </w:pPr>
      <w:r w:rsidRPr="005F0AE0">
        <w:rPr>
          <w:rFonts w:asciiTheme="minorHAnsi" w:eastAsia="Arial" w:hAnsiTheme="minorHAnsi" w:cstheme="minorHAnsi"/>
          <w:bCs/>
          <w:color w:val="auto"/>
          <w:sz w:val="21"/>
          <w:szCs w:val="21"/>
        </w:rPr>
        <w:t xml:space="preserve">You will pay </w:t>
      </w:r>
      <w:r w:rsidR="006C594E" w:rsidRPr="005F0AE0">
        <w:rPr>
          <w:rFonts w:asciiTheme="minorHAnsi" w:eastAsia="Arial" w:hAnsiTheme="minorHAnsi" w:cstheme="minorHAnsi"/>
          <w:bCs/>
          <w:color w:val="auto"/>
          <w:sz w:val="21"/>
          <w:szCs w:val="21"/>
        </w:rPr>
        <w:t xml:space="preserve">transaction-based </w:t>
      </w:r>
      <w:r w:rsidRPr="005F0AE0">
        <w:rPr>
          <w:rFonts w:asciiTheme="minorHAnsi" w:eastAsia="Arial" w:hAnsiTheme="minorHAnsi" w:cstheme="minorHAnsi"/>
          <w:bCs/>
          <w:color w:val="auto"/>
          <w:sz w:val="21"/>
          <w:szCs w:val="21"/>
        </w:rPr>
        <w:t xml:space="preserve">fees </w:t>
      </w:r>
      <w:r w:rsidR="006C594E" w:rsidRPr="005F0AE0">
        <w:rPr>
          <w:rFonts w:asciiTheme="minorHAnsi" w:eastAsia="Arial" w:hAnsiTheme="minorHAnsi" w:cstheme="minorHAnsi"/>
          <w:bCs/>
          <w:color w:val="auto"/>
          <w:sz w:val="21"/>
          <w:szCs w:val="21"/>
        </w:rPr>
        <w:t xml:space="preserve">for </w:t>
      </w:r>
      <w:r w:rsidR="00DD1176" w:rsidRPr="005F0AE0">
        <w:rPr>
          <w:rFonts w:asciiTheme="minorHAnsi" w:eastAsia="Arial" w:hAnsiTheme="minorHAnsi" w:cstheme="minorHAnsi"/>
          <w:bCs/>
          <w:color w:val="auto"/>
          <w:sz w:val="21"/>
          <w:szCs w:val="21"/>
        </w:rPr>
        <w:t xml:space="preserve">purchase and sale </w:t>
      </w:r>
      <w:r w:rsidR="006C594E" w:rsidRPr="005F0AE0">
        <w:rPr>
          <w:rFonts w:asciiTheme="minorHAnsi" w:eastAsia="Arial" w:hAnsiTheme="minorHAnsi" w:cstheme="minorHAnsi"/>
          <w:bCs/>
          <w:color w:val="auto"/>
          <w:sz w:val="21"/>
          <w:szCs w:val="21"/>
        </w:rPr>
        <w:t>t</w:t>
      </w:r>
      <w:r w:rsidRPr="005F0AE0">
        <w:rPr>
          <w:rFonts w:asciiTheme="minorHAnsi" w:eastAsia="Arial" w:hAnsiTheme="minorHAnsi" w:cstheme="minorHAnsi"/>
          <w:bCs/>
          <w:color w:val="auto"/>
          <w:sz w:val="21"/>
          <w:szCs w:val="21"/>
        </w:rPr>
        <w:t xml:space="preserve">rades you decide to </w:t>
      </w:r>
      <w:r w:rsidR="00DD1176" w:rsidRPr="005F0AE0">
        <w:rPr>
          <w:rFonts w:asciiTheme="minorHAnsi" w:eastAsia="Arial" w:hAnsiTheme="minorHAnsi" w:cstheme="minorHAnsi"/>
          <w:bCs/>
          <w:color w:val="auto"/>
          <w:sz w:val="21"/>
          <w:szCs w:val="21"/>
        </w:rPr>
        <w:t xml:space="preserve">execute in your brokerage account, </w:t>
      </w:r>
      <w:r w:rsidRPr="005F0AE0">
        <w:rPr>
          <w:rFonts w:asciiTheme="minorHAnsi" w:eastAsia="Arial" w:hAnsiTheme="minorHAnsi" w:cstheme="minorHAnsi"/>
          <w:bCs/>
          <w:color w:val="auto"/>
          <w:sz w:val="21"/>
          <w:szCs w:val="21"/>
        </w:rPr>
        <w:t>such as buying and selling stocks, bonds, Exchange Traded Products (ETPs), mutual funds, annuity contracts</w:t>
      </w:r>
      <w:r w:rsidR="007F6B81" w:rsidRPr="005F0AE0">
        <w:rPr>
          <w:rFonts w:asciiTheme="minorHAnsi" w:eastAsia="Arial" w:hAnsiTheme="minorHAnsi" w:cstheme="minorHAnsi"/>
          <w:bCs/>
          <w:color w:val="auto"/>
          <w:sz w:val="21"/>
          <w:szCs w:val="21"/>
        </w:rPr>
        <w:t>, exercising options</w:t>
      </w:r>
      <w:r w:rsidRPr="005F0AE0">
        <w:rPr>
          <w:rFonts w:asciiTheme="minorHAnsi" w:eastAsia="Arial" w:hAnsiTheme="minorHAnsi" w:cstheme="minorHAnsi"/>
          <w:bCs/>
          <w:color w:val="auto"/>
          <w:sz w:val="21"/>
          <w:szCs w:val="21"/>
        </w:rPr>
        <w:t xml:space="preserve"> and other investment </w:t>
      </w:r>
      <w:r w:rsidR="0091608C" w:rsidRPr="005F0AE0">
        <w:rPr>
          <w:rFonts w:asciiTheme="minorHAnsi" w:eastAsia="Arial" w:hAnsiTheme="minorHAnsi" w:cstheme="minorHAnsi"/>
          <w:bCs/>
          <w:color w:val="auto"/>
          <w:sz w:val="21"/>
          <w:szCs w:val="21"/>
        </w:rPr>
        <w:t>purchase</w:t>
      </w:r>
      <w:r w:rsidR="005A3B84" w:rsidRPr="005F0AE0">
        <w:rPr>
          <w:rFonts w:asciiTheme="minorHAnsi" w:eastAsia="Arial" w:hAnsiTheme="minorHAnsi" w:cstheme="minorHAnsi"/>
          <w:bCs/>
          <w:color w:val="auto"/>
          <w:sz w:val="21"/>
          <w:szCs w:val="21"/>
        </w:rPr>
        <w:t>s a</w:t>
      </w:r>
      <w:r w:rsidR="0091608C" w:rsidRPr="005F0AE0">
        <w:rPr>
          <w:rFonts w:asciiTheme="minorHAnsi" w:eastAsia="Arial" w:hAnsiTheme="minorHAnsi" w:cstheme="minorHAnsi"/>
          <w:bCs/>
          <w:color w:val="auto"/>
          <w:sz w:val="21"/>
          <w:szCs w:val="21"/>
        </w:rPr>
        <w:t>nd sale</w:t>
      </w:r>
      <w:r w:rsidR="00DD1176" w:rsidRPr="005F0AE0">
        <w:rPr>
          <w:rFonts w:asciiTheme="minorHAnsi" w:eastAsia="Arial" w:hAnsiTheme="minorHAnsi" w:cstheme="minorHAnsi"/>
          <w:bCs/>
          <w:color w:val="auto"/>
          <w:sz w:val="21"/>
          <w:szCs w:val="21"/>
        </w:rPr>
        <w:t>s</w:t>
      </w:r>
      <w:r w:rsidR="0087513E" w:rsidRPr="005F0AE0">
        <w:rPr>
          <w:rFonts w:asciiTheme="minorHAnsi" w:eastAsia="Arial" w:hAnsiTheme="minorHAnsi" w:cstheme="minorHAnsi"/>
          <w:bCs/>
          <w:color w:val="auto"/>
          <w:sz w:val="21"/>
          <w:szCs w:val="21"/>
        </w:rPr>
        <w:t>.</w:t>
      </w:r>
      <w:r w:rsidRPr="005F0AE0">
        <w:rPr>
          <w:rFonts w:asciiTheme="minorHAnsi" w:eastAsia="Arial" w:hAnsiTheme="minorHAnsi" w:cstheme="minorHAnsi"/>
          <w:bCs/>
          <w:color w:val="auto"/>
          <w:sz w:val="21"/>
          <w:szCs w:val="21"/>
        </w:rPr>
        <w:t xml:space="preserve"> These transaction-based fees </w:t>
      </w:r>
      <w:r w:rsidR="0087513E" w:rsidRPr="005F0AE0">
        <w:rPr>
          <w:rFonts w:asciiTheme="minorHAnsi" w:eastAsia="Arial" w:hAnsiTheme="minorHAnsi" w:cstheme="minorHAnsi"/>
          <w:bCs/>
          <w:color w:val="auto"/>
          <w:sz w:val="21"/>
          <w:szCs w:val="21"/>
        </w:rPr>
        <w:t xml:space="preserve">are </w:t>
      </w:r>
      <w:r w:rsidR="006C594E" w:rsidRPr="005F0AE0">
        <w:rPr>
          <w:rFonts w:asciiTheme="minorHAnsi" w:eastAsia="Arial" w:hAnsiTheme="minorHAnsi" w:cstheme="minorHAnsi"/>
          <w:bCs/>
          <w:color w:val="auto"/>
          <w:sz w:val="21"/>
          <w:szCs w:val="21"/>
        </w:rPr>
        <w:t>generally referred to as a “commission,” “mark up,”</w:t>
      </w:r>
      <w:r w:rsidRPr="005F0AE0">
        <w:rPr>
          <w:rFonts w:asciiTheme="minorHAnsi" w:eastAsia="Arial" w:hAnsiTheme="minorHAnsi" w:cstheme="minorHAnsi"/>
          <w:bCs/>
          <w:color w:val="auto"/>
          <w:sz w:val="21"/>
          <w:szCs w:val="21"/>
        </w:rPr>
        <w:t xml:space="preserve"> </w:t>
      </w:r>
      <w:r w:rsidR="006C594E" w:rsidRPr="005F0AE0">
        <w:rPr>
          <w:rFonts w:asciiTheme="minorHAnsi" w:eastAsia="Arial" w:hAnsiTheme="minorHAnsi" w:cstheme="minorHAnsi"/>
          <w:bCs/>
          <w:color w:val="auto"/>
          <w:sz w:val="21"/>
          <w:szCs w:val="21"/>
        </w:rPr>
        <w:t>“sales load,” or a “sales charge.”</w:t>
      </w:r>
      <w:r w:rsidR="0087513E" w:rsidRPr="005F0AE0">
        <w:rPr>
          <w:rFonts w:asciiTheme="minorHAnsi" w:eastAsia="Arial" w:hAnsiTheme="minorHAnsi" w:cstheme="minorHAnsi"/>
          <w:bCs/>
          <w:color w:val="auto"/>
          <w:sz w:val="21"/>
          <w:szCs w:val="21"/>
        </w:rPr>
        <w:t xml:space="preserve"> T</w:t>
      </w:r>
      <w:r w:rsidRPr="005F0AE0">
        <w:rPr>
          <w:rFonts w:asciiTheme="minorHAnsi" w:eastAsia="Arial" w:hAnsiTheme="minorHAnsi" w:cstheme="minorHAnsi"/>
          <w:bCs/>
          <w:color w:val="auto"/>
          <w:sz w:val="21"/>
          <w:szCs w:val="21"/>
        </w:rPr>
        <w:t xml:space="preserve">ransaction-based fees </w:t>
      </w:r>
      <w:r w:rsidR="0087513E" w:rsidRPr="005F0AE0">
        <w:rPr>
          <w:rFonts w:asciiTheme="minorHAnsi" w:eastAsia="Arial" w:hAnsiTheme="minorHAnsi" w:cstheme="minorHAnsi"/>
          <w:bCs/>
          <w:color w:val="auto"/>
          <w:sz w:val="21"/>
          <w:szCs w:val="21"/>
        </w:rPr>
        <w:t>are based on a host of factors, including, but not limited to:</w:t>
      </w:r>
    </w:p>
    <w:p w14:paraId="52EFEE81" w14:textId="77777777" w:rsidR="00DD1176" w:rsidRPr="005F0AE0" w:rsidRDefault="00DD1176" w:rsidP="006B6FAD">
      <w:pPr>
        <w:pStyle w:val="Default0"/>
        <w:ind w:left="120"/>
        <w:jc w:val="both"/>
        <w:rPr>
          <w:rFonts w:asciiTheme="minorHAnsi" w:eastAsia="Arial" w:hAnsiTheme="minorHAnsi" w:cstheme="minorHAnsi"/>
          <w:bCs/>
          <w:color w:val="auto"/>
          <w:sz w:val="21"/>
          <w:szCs w:val="21"/>
        </w:rPr>
      </w:pPr>
    </w:p>
    <w:p w14:paraId="04986067" w14:textId="1EE1C880" w:rsidR="0014535C" w:rsidRPr="005F0AE0" w:rsidRDefault="0014535C" w:rsidP="0020002F">
      <w:pPr>
        <w:pStyle w:val="Default0"/>
        <w:numPr>
          <w:ilvl w:val="0"/>
          <w:numId w:val="18"/>
        </w:numPr>
        <w:ind w:left="480"/>
        <w:rPr>
          <w:rFonts w:asciiTheme="minorHAnsi" w:eastAsia="Arial" w:hAnsiTheme="minorHAnsi" w:cstheme="minorHAnsi"/>
          <w:bCs/>
          <w:color w:val="auto"/>
          <w:sz w:val="21"/>
          <w:szCs w:val="21"/>
        </w:rPr>
      </w:pPr>
      <w:r w:rsidRPr="005F0AE0">
        <w:rPr>
          <w:rFonts w:asciiTheme="minorHAnsi" w:eastAsia="Arial" w:hAnsiTheme="minorHAnsi" w:cstheme="minorHAnsi"/>
          <w:bCs/>
          <w:color w:val="auto"/>
          <w:sz w:val="21"/>
          <w:szCs w:val="21"/>
        </w:rPr>
        <w:t xml:space="preserve">Underlying </w:t>
      </w:r>
      <w:r w:rsidR="002E6D66" w:rsidRPr="005F0AE0">
        <w:rPr>
          <w:rFonts w:asciiTheme="minorHAnsi" w:eastAsia="Arial" w:hAnsiTheme="minorHAnsi" w:cstheme="minorHAnsi"/>
          <w:bCs/>
          <w:color w:val="auto"/>
          <w:sz w:val="21"/>
          <w:szCs w:val="21"/>
        </w:rPr>
        <w:t xml:space="preserve">investment </w:t>
      </w:r>
      <w:r w:rsidRPr="005F0AE0">
        <w:rPr>
          <w:rFonts w:asciiTheme="minorHAnsi" w:eastAsia="Arial" w:hAnsiTheme="minorHAnsi" w:cstheme="minorHAnsi"/>
          <w:bCs/>
          <w:color w:val="auto"/>
          <w:sz w:val="21"/>
          <w:szCs w:val="21"/>
        </w:rPr>
        <w:t xml:space="preserve">product selection </w:t>
      </w:r>
    </w:p>
    <w:p w14:paraId="64B70C2F" w14:textId="77777777" w:rsidR="0087513E" w:rsidRPr="005F0AE0" w:rsidRDefault="0014535C" w:rsidP="0020002F">
      <w:pPr>
        <w:pStyle w:val="Default0"/>
        <w:numPr>
          <w:ilvl w:val="0"/>
          <w:numId w:val="18"/>
        </w:numPr>
        <w:ind w:left="480"/>
        <w:rPr>
          <w:rFonts w:asciiTheme="minorHAnsi" w:eastAsia="Arial" w:hAnsiTheme="minorHAnsi" w:cstheme="minorHAnsi"/>
          <w:bCs/>
          <w:color w:val="auto"/>
          <w:sz w:val="21"/>
          <w:szCs w:val="21"/>
        </w:rPr>
      </w:pPr>
      <w:r w:rsidRPr="005F0AE0">
        <w:rPr>
          <w:rFonts w:asciiTheme="minorHAnsi" w:eastAsia="Arial" w:hAnsiTheme="minorHAnsi" w:cstheme="minorHAnsi"/>
          <w:bCs/>
          <w:color w:val="auto"/>
          <w:sz w:val="21"/>
          <w:szCs w:val="21"/>
        </w:rPr>
        <w:t xml:space="preserve">Your brokerage service </w:t>
      </w:r>
      <w:r w:rsidR="009A5D48" w:rsidRPr="005F0AE0">
        <w:rPr>
          <w:rFonts w:asciiTheme="minorHAnsi" w:eastAsia="Arial" w:hAnsiTheme="minorHAnsi" w:cstheme="minorHAnsi"/>
          <w:bCs/>
          <w:color w:val="auto"/>
          <w:sz w:val="21"/>
          <w:szCs w:val="21"/>
        </w:rPr>
        <w:t xml:space="preserve">model </w:t>
      </w:r>
      <w:r w:rsidRPr="005F0AE0">
        <w:rPr>
          <w:rFonts w:asciiTheme="minorHAnsi" w:eastAsia="Arial" w:hAnsiTheme="minorHAnsi" w:cstheme="minorHAnsi"/>
          <w:bCs/>
          <w:color w:val="auto"/>
          <w:sz w:val="21"/>
          <w:szCs w:val="21"/>
        </w:rPr>
        <w:t>and account type</w:t>
      </w:r>
    </w:p>
    <w:p w14:paraId="5D5B4CD3" w14:textId="15947D8A" w:rsidR="0014535C" w:rsidRPr="005F0AE0" w:rsidRDefault="002E6D66" w:rsidP="0014535C">
      <w:pPr>
        <w:pStyle w:val="Default0"/>
        <w:numPr>
          <w:ilvl w:val="0"/>
          <w:numId w:val="18"/>
        </w:numPr>
        <w:ind w:left="480"/>
        <w:rPr>
          <w:rFonts w:asciiTheme="minorHAnsi" w:eastAsia="Arial" w:hAnsiTheme="minorHAnsi" w:cstheme="minorHAnsi"/>
          <w:bCs/>
          <w:color w:val="auto"/>
          <w:sz w:val="21"/>
          <w:szCs w:val="21"/>
        </w:rPr>
      </w:pPr>
      <w:r w:rsidRPr="005F0AE0">
        <w:rPr>
          <w:rFonts w:asciiTheme="minorHAnsi" w:eastAsia="Arial" w:hAnsiTheme="minorHAnsi" w:cstheme="minorHAnsi"/>
          <w:bCs/>
          <w:color w:val="auto"/>
          <w:sz w:val="21"/>
          <w:szCs w:val="21"/>
        </w:rPr>
        <w:t>The s</w:t>
      </w:r>
      <w:r w:rsidR="0014535C" w:rsidRPr="005F0AE0">
        <w:rPr>
          <w:rFonts w:asciiTheme="minorHAnsi" w:eastAsia="Arial" w:hAnsiTheme="minorHAnsi" w:cstheme="minorHAnsi"/>
          <w:bCs/>
          <w:color w:val="auto"/>
          <w:sz w:val="21"/>
          <w:szCs w:val="21"/>
        </w:rPr>
        <w:t xml:space="preserve">ize of your transaction and/or overall value of your </w:t>
      </w:r>
      <w:r w:rsidRPr="005F0AE0">
        <w:rPr>
          <w:rFonts w:asciiTheme="minorHAnsi" w:eastAsia="Arial" w:hAnsiTheme="minorHAnsi" w:cstheme="minorHAnsi"/>
          <w:bCs/>
          <w:color w:val="auto"/>
          <w:sz w:val="21"/>
          <w:szCs w:val="21"/>
        </w:rPr>
        <w:t xml:space="preserve">investment </w:t>
      </w:r>
      <w:r w:rsidR="0014535C" w:rsidRPr="005F0AE0">
        <w:rPr>
          <w:rFonts w:asciiTheme="minorHAnsi" w:eastAsia="Arial" w:hAnsiTheme="minorHAnsi" w:cstheme="minorHAnsi"/>
          <w:bCs/>
          <w:color w:val="auto"/>
          <w:sz w:val="21"/>
          <w:szCs w:val="21"/>
        </w:rPr>
        <w:t>account</w:t>
      </w:r>
    </w:p>
    <w:p w14:paraId="129F2E1F" w14:textId="44DEFFB9" w:rsidR="0014535C" w:rsidRPr="005F0AE0" w:rsidRDefault="0014535C" w:rsidP="0014535C">
      <w:pPr>
        <w:pStyle w:val="Default0"/>
        <w:numPr>
          <w:ilvl w:val="0"/>
          <w:numId w:val="18"/>
        </w:numPr>
        <w:ind w:left="480"/>
        <w:rPr>
          <w:rFonts w:asciiTheme="minorHAnsi" w:eastAsia="Arial" w:hAnsiTheme="minorHAnsi" w:cstheme="minorHAnsi"/>
          <w:bCs/>
          <w:color w:val="auto"/>
          <w:sz w:val="21"/>
          <w:szCs w:val="21"/>
        </w:rPr>
      </w:pPr>
      <w:r w:rsidRPr="005F0AE0">
        <w:rPr>
          <w:rFonts w:asciiTheme="minorHAnsi" w:eastAsia="Arial" w:hAnsiTheme="minorHAnsi" w:cstheme="minorHAnsi"/>
          <w:bCs/>
          <w:color w:val="auto"/>
          <w:sz w:val="21"/>
          <w:szCs w:val="21"/>
        </w:rPr>
        <w:t xml:space="preserve">Frequency </w:t>
      </w:r>
      <w:r w:rsidR="009A5D48" w:rsidRPr="005F0AE0">
        <w:rPr>
          <w:rFonts w:asciiTheme="minorHAnsi" w:eastAsia="Arial" w:hAnsiTheme="minorHAnsi" w:cstheme="minorHAnsi"/>
          <w:bCs/>
          <w:color w:val="auto"/>
          <w:sz w:val="21"/>
          <w:szCs w:val="21"/>
        </w:rPr>
        <w:t>of your trad</w:t>
      </w:r>
      <w:r w:rsidR="00DD1176" w:rsidRPr="005F0AE0">
        <w:rPr>
          <w:rFonts w:asciiTheme="minorHAnsi" w:eastAsia="Arial" w:hAnsiTheme="minorHAnsi" w:cstheme="minorHAnsi"/>
          <w:bCs/>
          <w:color w:val="auto"/>
          <w:sz w:val="21"/>
          <w:szCs w:val="21"/>
        </w:rPr>
        <w:t>ing</w:t>
      </w:r>
      <w:r w:rsidR="009A5D48" w:rsidRPr="005F0AE0">
        <w:rPr>
          <w:rFonts w:asciiTheme="minorHAnsi" w:eastAsia="Arial" w:hAnsiTheme="minorHAnsi" w:cstheme="minorHAnsi"/>
          <w:bCs/>
          <w:color w:val="auto"/>
          <w:sz w:val="21"/>
          <w:szCs w:val="21"/>
        </w:rPr>
        <w:t xml:space="preserve"> activity</w:t>
      </w:r>
    </w:p>
    <w:p w14:paraId="7FB90B36" w14:textId="7ED5BDCD" w:rsidR="0014535C" w:rsidRPr="005F0AE0" w:rsidRDefault="007F6B81" w:rsidP="0014535C">
      <w:pPr>
        <w:pStyle w:val="Default0"/>
        <w:numPr>
          <w:ilvl w:val="0"/>
          <w:numId w:val="18"/>
        </w:numPr>
        <w:ind w:left="480"/>
        <w:rPr>
          <w:rFonts w:asciiTheme="minorHAnsi" w:eastAsia="Arial" w:hAnsiTheme="minorHAnsi" w:cstheme="minorHAnsi"/>
          <w:bCs/>
          <w:color w:val="auto"/>
          <w:sz w:val="21"/>
          <w:szCs w:val="21"/>
        </w:rPr>
      </w:pPr>
      <w:r w:rsidRPr="005F0AE0">
        <w:rPr>
          <w:rFonts w:asciiTheme="minorHAnsi" w:eastAsia="Arial" w:hAnsiTheme="minorHAnsi" w:cstheme="minorHAnsi"/>
          <w:bCs/>
          <w:color w:val="auto"/>
          <w:sz w:val="21"/>
          <w:szCs w:val="21"/>
        </w:rPr>
        <w:t xml:space="preserve">Available </w:t>
      </w:r>
      <w:r w:rsidR="00DD1176" w:rsidRPr="005F0AE0">
        <w:rPr>
          <w:rFonts w:asciiTheme="minorHAnsi" w:eastAsia="Arial" w:hAnsiTheme="minorHAnsi" w:cstheme="minorHAnsi"/>
          <w:bCs/>
          <w:color w:val="auto"/>
          <w:sz w:val="21"/>
          <w:szCs w:val="21"/>
        </w:rPr>
        <w:t xml:space="preserve">investment product </w:t>
      </w:r>
      <w:r w:rsidRPr="005F0AE0">
        <w:rPr>
          <w:rFonts w:asciiTheme="minorHAnsi" w:eastAsia="Arial" w:hAnsiTheme="minorHAnsi" w:cstheme="minorHAnsi"/>
          <w:bCs/>
          <w:color w:val="auto"/>
          <w:sz w:val="21"/>
          <w:szCs w:val="21"/>
        </w:rPr>
        <w:t>discounts and/or fee waivers</w:t>
      </w:r>
    </w:p>
    <w:p w14:paraId="78F02068" w14:textId="77777777" w:rsidR="0014535C" w:rsidRPr="005F0AE0" w:rsidRDefault="0014535C" w:rsidP="0014535C">
      <w:pPr>
        <w:pStyle w:val="Default0"/>
        <w:ind w:left="120"/>
        <w:rPr>
          <w:rFonts w:asciiTheme="minorHAnsi" w:eastAsia="Arial" w:hAnsiTheme="minorHAnsi" w:cstheme="minorHAnsi"/>
          <w:bCs/>
          <w:color w:val="auto"/>
          <w:sz w:val="21"/>
          <w:szCs w:val="21"/>
        </w:rPr>
      </w:pPr>
    </w:p>
    <w:p w14:paraId="2F18377C" w14:textId="77777777" w:rsidR="0014535C" w:rsidRPr="005F0AE0" w:rsidRDefault="0014535C" w:rsidP="0014535C">
      <w:pPr>
        <w:pStyle w:val="Default0"/>
        <w:adjustRightInd/>
        <w:ind w:firstLine="120"/>
        <w:rPr>
          <w:rFonts w:asciiTheme="minorHAnsi" w:hAnsiTheme="minorHAnsi" w:cstheme="minorHAnsi"/>
          <w:b/>
          <w:bCs/>
          <w:iCs/>
          <w:color w:val="auto"/>
          <w:sz w:val="21"/>
          <w:szCs w:val="21"/>
        </w:rPr>
      </w:pPr>
      <w:r w:rsidRPr="005F0AE0">
        <w:rPr>
          <w:rFonts w:asciiTheme="minorHAnsi" w:hAnsiTheme="minorHAnsi" w:cstheme="minorHAnsi"/>
          <w:b/>
          <w:bCs/>
          <w:iCs/>
          <w:color w:val="auto"/>
          <w:sz w:val="21"/>
          <w:szCs w:val="21"/>
        </w:rPr>
        <w:t>Account and Service Fees</w:t>
      </w:r>
      <w:r w:rsidR="00652F3D" w:rsidRPr="005F0AE0">
        <w:rPr>
          <w:rFonts w:asciiTheme="minorHAnsi" w:hAnsiTheme="minorHAnsi" w:cstheme="minorHAnsi"/>
          <w:b/>
          <w:bCs/>
          <w:iCs/>
          <w:color w:val="auto"/>
          <w:sz w:val="21"/>
          <w:szCs w:val="21"/>
        </w:rPr>
        <w:t xml:space="preserve"> </w:t>
      </w:r>
    </w:p>
    <w:p w14:paraId="4F1553B5" w14:textId="77777777" w:rsidR="0014535C" w:rsidRPr="005F0AE0" w:rsidRDefault="0014535C" w:rsidP="00766B05">
      <w:pPr>
        <w:pStyle w:val="Default0"/>
        <w:ind w:left="120"/>
        <w:jc w:val="both"/>
        <w:rPr>
          <w:rFonts w:asciiTheme="minorHAnsi" w:hAnsiTheme="minorHAnsi" w:cstheme="minorHAnsi"/>
          <w:sz w:val="21"/>
          <w:szCs w:val="21"/>
        </w:rPr>
      </w:pPr>
      <w:r w:rsidRPr="005F0AE0">
        <w:rPr>
          <w:rFonts w:asciiTheme="minorHAnsi" w:eastAsia="Arial" w:hAnsiTheme="minorHAnsi" w:cstheme="minorHAnsi"/>
          <w:bCs/>
          <w:color w:val="auto"/>
          <w:sz w:val="21"/>
          <w:szCs w:val="21"/>
        </w:rPr>
        <w:t>You will pay fees for various operatio</w:t>
      </w:r>
      <w:r w:rsidR="00652F3D" w:rsidRPr="005F0AE0">
        <w:rPr>
          <w:rFonts w:asciiTheme="minorHAnsi" w:eastAsia="Arial" w:hAnsiTheme="minorHAnsi" w:cstheme="minorHAnsi"/>
          <w:bCs/>
          <w:color w:val="auto"/>
          <w:sz w:val="21"/>
          <w:szCs w:val="21"/>
        </w:rPr>
        <w:t xml:space="preserve">nal services provided to you through your brokerage account. These fees are set at least annually and communicated to you </w:t>
      </w:r>
      <w:r w:rsidR="0091608C" w:rsidRPr="005F0AE0">
        <w:rPr>
          <w:rFonts w:asciiTheme="minorHAnsi" w:eastAsia="Arial" w:hAnsiTheme="minorHAnsi" w:cstheme="minorHAnsi"/>
          <w:bCs/>
          <w:color w:val="auto"/>
          <w:sz w:val="21"/>
          <w:szCs w:val="21"/>
        </w:rPr>
        <w:t>through</w:t>
      </w:r>
      <w:r w:rsidR="00652F3D" w:rsidRPr="005F0AE0">
        <w:rPr>
          <w:rFonts w:asciiTheme="minorHAnsi" w:eastAsia="Arial" w:hAnsiTheme="minorHAnsi" w:cstheme="minorHAnsi"/>
          <w:bCs/>
          <w:color w:val="auto"/>
          <w:sz w:val="21"/>
          <w:szCs w:val="21"/>
        </w:rPr>
        <w:t xml:space="preserve"> </w:t>
      </w:r>
      <w:r w:rsidR="0091608C" w:rsidRPr="005F0AE0">
        <w:rPr>
          <w:rFonts w:asciiTheme="minorHAnsi" w:eastAsia="Arial" w:hAnsiTheme="minorHAnsi" w:cstheme="minorHAnsi"/>
          <w:bCs/>
          <w:color w:val="auto"/>
          <w:sz w:val="21"/>
          <w:szCs w:val="21"/>
        </w:rPr>
        <w:t>information</w:t>
      </w:r>
      <w:r w:rsidR="00652F3D" w:rsidRPr="005F0AE0">
        <w:rPr>
          <w:rFonts w:asciiTheme="minorHAnsi" w:eastAsia="Arial" w:hAnsiTheme="minorHAnsi" w:cstheme="minorHAnsi"/>
          <w:bCs/>
          <w:color w:val="auto"/>
          <w:sz w:val="21"/>
          <w:szCs w:val="21"/>
        </w:rPr>
        <w:t xml:space="preserve"> included in your account statement and other notifications. These fees do not apply to all account types and may be waived under certain conditions. </w:t>
      </w:r>
    </w:p>
    <w:p w14:paraId="0039216C" w14:textId="77777777" w:rsidR="00652F3D" w:rsidRPr="005F0AE0" w:rsidRDefault="00652F3D" w:rsidP="00766B05">
      <w:pPr>
        <w:pStyle w:val="Default0"/>
        <w:ind w:left="120"/>
        <w:jc w:val="both"/>
        <w:rPr>
          <w:rFonts w:asciiTheme="minorHAnsi" w:eastAsia="Arial" w:hAnsiTheme="minorHAnsi" w:cstheme="minorHAnsi"/>
          <w:bCs/>
          <w:color w:val="auto"/>
          <w:sz w:val="21"/>
          <w:szCs w:val="21"/>
        </w:rPr>
      </w:pPr>
    </w:p>
    <w:p w14:paraId="2AC3D778" w14:textId="049EBBE4" w:rsidR="007F6B81" w:rsidRPr="005F0AE0" w:rsidRDefault="000A729F" w:rsidP="00766B05">
      <w:pPr>
        <w:pStyle w:val="Default0"/>
        <w:ind w:left="90"/>
        <w:jc w:val="both"/>
        <w:rPr>
          <w:rFonts w:asciiTheme="minorHAnsi" w:eastAsia="Arial" w:hAnsiTheme="minorHAnsi" w:cstheme="minorHAnsi"/>
          <w:bCs/>
          <w:color w:val="auto"/>
          <w:sz w:val="21"/>
          <w:szCs w:val="21"/>
        </w:rPr>
      </w:pPr>
      <w:r w:rsidRPr="005F0AE0">
        <w:rPr>
          <w:rFonts w:asciiTheme="minorHAnsi" w:eastAsia="Arial" w:hAnsiTheme="minorHAnsi" w:cstheme="minorHAnsi"/>
          <w:bCs/>
          <w:color w:val="auto"/>
          <w:sz w:val="21"/>
          <w:szCs w:val="21"/>
        </w:rPr>
        <w:t xml:space="preserve">You should understand that based on the brokerage service model you choose, the same or similar products, accounts and services may vary in the fees and costs charged to you. </w:t>
      </w:r>
      <w:r w:rsidR="007F6B81" w:rsidRPr="005F0AE0">
        <w:rPr>
          <w:rFonts w:asciiTheme="minorHAnsi" w:eastAsia="Arial" w:hAnsiTheme="minorHAnsi" w:cstheme="minorHAnsi"/>
          <w:bCs/>
          <w:color w:val="auto"/>
          <w:sz w:val="21"/>
          <w:szCs w:val="21"/>
        </w:rPr>
        <w:t xml:space="preserve">For more information concerning our administrative and service fees, </w:t>
      </w:r>
      <w:r w:rsidR="002E6D66" w:rsidRPr="005F0AE0">
        <w:rPr>
          <w:rFonts w:asciiTheme="minorHAnsi" w:eastAsia="Arial" w:hAnsiTheme="minorHAnsi" w:cstheme="minorHAnsi"/>
          <w:bCs/>
          <w:color w:val="auto"/>
          <w:sz w:val="21"/>
          <w:szCs w:val="21"/>
        </w:rPr>
        <w:t xml:space="preserve">please refer to </w:t>
      </w:r>
      <w:r w:rsidR="005B77CF" w:rsidRPr="005F0AE0">
        <w:rPr>
          <w:rFonts w:asciiTheme="minorHAnsi" w:eastAsia="Arial" w:hAnsiTheme="minorHAnsi" w:cstheme="minorHAnsi"/>
          <w:bCs/>
          <w:color w:val="auto"/>
          <w:sz w:val="21"/>
          <w:szCs w:val="21"/>
        </w:rPr>
        <w:t>your account opening documents.</w:t>
      </w:r>
    </w:p>
    <w:p w14:paraId="732F79F6" w14:textId="77777777" w:rsidR="007C1172" w:rsidRPr="005F0AE0" w:rsidRDefault="007C1172" w:rsidP="00766B05">
      <w:pPr>
        <w:widowControl/>
        <w:adjustRightInd w:val="0"/>
        <w:ind w:firstLine="120"/>
        <w:jc w:val="both"/>
        <w:rPr>
          <w:rFonts w:asciiTheme="minorHAnsi" w:eastAsiaTheme="minorHAnsi" w:hAnsiTheme="minorHAnsi" w:cstheme="minorHAnsi"/>
          <w:b/>
          <w:color w:val="000000"/>
          <w:sz w:val="21"/>
          <w:szCs w:val="21"/>
        </w:rPr>
      </w:pPr>
    </w:p>
    <w:p w14:paraId="1A511F30" w14:textId="2508D237" w:rsidR="000A729F" w:rsidRPr="005F0AE0" w:rsidRDefault="00F30A52" w:rsidP="00F30A52">
      <w:pPr>
        <w:widowControl/>
        <w:adjustRightInd w:val="0"/>
        <w:jc w:val="both"/>
        <w:rPr>
          <w:rFonts w:asciiTheme="minorHAnsi" w:eastAsiaTheme="minorHAnsi" w:hAnsiTheme="minorHAnsi" w:cstheme="minorHAnsi"/>
          <w:b/>
          <w:color w:val="000000"/>
          <w:sz w:val="21"/>
          <w:szCs w:val="21"/>
        </w:rPr>
      </w:pPr>
      <w:r w:rsidRPr="005F0AE0">
        <w:rPr>
          <w:rFonts w:asciiTheme="minorHAnsi" w:eastAsiaTheme="minorHAnsi" w:hAnsiTheme="minorHAnsi" w:cstheme="minorHAnsi"/>
          <w:b/>
          <w:color w:val="000000"/>
          <w:sz w:val="21"/>
          <w:szCs w:val="21"/>
        </w:rPr>
        <w:t xml:space="preserve">  </w:t>
      </w:r>
      <w:r w:rsidR="008038FE" w:rsidRPr="005F0AE0">
        <w:rPr>
          <w:rFonts w:asciiTheme="minorHAnsi" w:eastAsiaTheme="minorHAnsi" w:hAnsiTheme="minorHAnsi" w:cstheme="minorHAnsi"/>
          <w:b/>
          <w:color w:val="000000"/>
          <w:sz w:val="21"/>
          <w:szCs w:val="21"/>
        </w:rPr>
        <w:t>How We Are Compensated</w:t>
      </w:r>
    </w:p>
    <w:p w14:paraId="35263B05" w14:textId="77777777" w:rsidR="000A729F" w:rsidRDefault="000A729F" w:rsidP="00F30A52">
      <w:pPr>
        <w:pStyle w:val="Default0"/>
        <w:ind w:left="144"/>
        <w:jc w:val="both"/>
        <w:rPr>
          <w:rFonts w:asciiTheme="minorHAnsi" w:hAnsiTheme="minorHAnsi" w:cstheme="minorHAnsi"/>
          <w:sz w:val="21"/>
          <w:szCs w:val="21"/>
        </w:rPr>
      </w:pPr>
      <w:r w:rsidRPr="005F0AE0">
        <w:rPr>
          <w:rFonts w:asciiTheme="minorHAnsi" w:hAnsiTheme="minorHAnsi" w:cstheme="minorHAnsi"/>
          <w:sz w:val="21"/>
          <w:szCs w:val="21"/>
        </w:rPr>
        <w:t xml:space="preserve">We receive direct and indirect compensation in connection with your accounts. Direct compensation is taken directly from the </w:t>
      </w:r>
      <w:r w:rsidR="007148C7" w:rsidRPr="005F0AE0">
        <w:rPr>
          <w:rFonts w:asciiTheme="minorHAnsi" w:hAnsiTheme="minorHAnsi" w:cstheme="minorHAnsi"/>
          <w:sz w:val="21"/>
          <w:szCs w:val="21"/>
        </w:rPr>
        <w:t>respective</w:t>
      </w:r>
      <w:r w:rsidRPr="005F0AE0">
        <w:rPr>
          <w:rFonts w:asciiTheme="minorHAnsi" w:hAnsiTheme="minorHAnsi" w:cstheme="minorHAnsi"/>
          <w:sz w:val="21"/>
          <w:szCs w:val="21"/>
        </w:rPr>
        <w:t xml:space="preserve"> account. Indirect compensation is compensation paid in ways other than directly from the account and may impact the value of the associated investment</w:t>
      </w:r>
      <w:r w:rsidR="00A750D6" w:rsidRPr="005F0AE0">
        <w:rPr>
          <w:rFonts w:asciiTheme="minorHAnsi" w:hAnsiTheme="minorHAnsi" w:cstheme="minorHAnsi"/>
          <w:sz w:val="21"/>
          <w:szCs w:val="21"/>
        </w:rPr>
        <w:t>s</w:t>
      </w:r>
      <w:r w:rsidRPr="005F0AE0">
        <w:rPr>
          <w:rFonts w:asciiTheme="minorHAnsi" w:hAnsiTheme="minorHAnsi" w:cstheme="minorHAnsi"/>
          <w:sz w:val="21"/>
          <w:szCs w:val="21"/>
        </w:rPr>
        <w:t xml:space="preserve"> in your account. The sections below describe the compensation that we receive in connection with various investments that may be available to you. In many cases, the descriptions that follow refer to a prospectus or offering documents.</w:t>
      </w:r>
    </w:p>
    <w:p w14:paraId="40E19800" w14:textId="77777777" w:rsidR="00C727CE" w:rsidRDefault="00C727CE" w:rsidP="00F30A52">
      <w:pPr>
        <w:pStyle w:val="Default0"/>
        <w:ind w:left="144"/>
        <w:jc w:val="both"/>
        <w:rPr>
          <w:rFonts w:asciiTheme="minorHAnsi" w:hAnsiTheme="minorHAnsi" w:cstheme="minorHAnsi"/>
          <w:sz w:val="21"/>
          <w:szCs w:val="21"/>
        </w:rPr>
      </w:pPr>
    </w:p>
    <w:p w14:paraId="29911B0F" w14:textId="77777777" w:rsidR="00C727CE" w:rsidRPr="005F0AE0" w:rsidRDefault="00C727CE" w:rsidP="00F30A52">
      <w:pPr>
        <w:pStyle w:val="Default0"/>
        <w:ind w:left="144"/>
        <w:jc w:val="both"/>
        <w:rPr>
          <w:rFonts w:asciiTheme="minorHAnsi" w:eastAsia="Arial" w:hAnsiTheme="minorHAnsi" w:cstheme="minorHAnsi"/>
          <w:bCs/>
          <w:color w:val="auto"/>
          <w:sz w:val="21"/>
          <w:szCs w:val="21"/>
        </w:rPr>
      </w:pPr>
    </w:p>
    <w:p w14:paraId="5445945A" w14:textId="77777777" w:rsidR="00F30A52" w:rsidRDefault="00F30A52" w:rsidP="00496ED7">
      <w:pPr>
        <w:pStyle w:val="Default0"/>
        <w:ind w:left="120"/>
        <w:rPr>
          <w:rFonts w:asciiTheme="minorHAnsi" w:eastAsia="Arial" w:hAnsiTheme="minorHAnsi" w:cstheme="minorHAnsi"/>
          <w:b/>
          <w:bCs/>
          <w:i/>
          <w:color w:val="auto"/>
          <w:sz w:val="21"/>
          <w:szCs w:val="21"/>
          <w:u w:val="single"/>
        </w:rPr>
      </w:pPr>
    </w:p>
    <w:p w14:paraId="7081C0E0" w14:textId="77777777" w:rsidR="001837D0" w:rsidRDefault="001837D0" w:rsidP="00496ED7">
      <w:pPr>
        <w:pStyle w:val="Default0"/>
        <w:ind w:left="120"/>
        <w:rPr>
          <w:rFonts w:asciiTheme="minorHAnsi" w:eastAsia="Arial" w:hAnsiTheme="minorHAnsi" w:cstheme="minorHAnsi"/>
          <w:b/>
          <w:bCs/>
          <w:i/>
          <w:color w:val="auto"/>
          <w:sz w:val="21"/>
          <w:szCs w:val="21"/>
          <w:u w:val="single"/>
        </w:rPr>
      </w:pPr>
    </w:p>
    <w:p w14:paraId="3CD1430B" w14:textId="77777777" w:rsidR="001837D0" w:rsidRPr="005F0AE0" w:rsidRDefault="001837D0" w:rsidP="00496ED7">
      <w:pPr>
        <w:pStyle w:val="Default0"/>
        <w:ind w:left="120"/>
        <w:rPr>
          <w:rFonts w:asciiTheme="minorHAnsi" w:eastAsia="Arial" w:hAnsiTheme="minorHAnsi" w:cstheme="minorHAnsi"/>
          <w:b/>
          <w:bCs/>
          <w:i/>
          <w:color w:val="auto"/>
          <w:sz w:val="21"/>
          <w:szCs w:val="21"/>
          <w:u w:val="single"/>
        </w:rPr>
      </w:pPr>
    </w:p>
    <w:p w14:paraId="6DFB1FB8" w14:textId="56AF48DC" w:rsidR="00F87931" w:rsidRPr="005F0AE0" w:rsidRDefault="00284695" w:rsidP="00284695">
      <w:pPr>
        <w:pStyle w:val="Default0"/>
        <w:rPr>
          <w:rFonts w:asciiTheme="minorHAnsi" w:eastAsia="Arial" w:hAnsiTheme="minorHAnsi" w:cstheme="minorHAnsi"/>
          <w:b/>
          <w:bCs/>
          <w:i/>
          <w:color w:val="auto"/>
          <w:sz w:val="21"/>
          <w:szCs w:val="21"/>
          <w:u w:val="single"/>
        </w:rPr>
      </w:pPr>
      <w:r w:rsidRPr="005F0AE0">
        <w:rPr>
          <w:rFonts w:asciiTheme="minorHAnsi" w:eastAsia="Arial" w:hAnsiTheme="minorHAnsi" w:cstheme="minorHAnsi"/>
          <w:b/>
          <w:bCs/>
          <w:i/>
          <w:color w:val="auto"/>
          <w:sz w:val="21"/>
          <w:szCs w:val="21"/>
        </w:rPr>
        <w:t xml:space="preserve">  </w:t>
      </w:r>
      <w:r w:rsidR="002E6D66" w:rsidRPr="005F0AE0">
        <w:rPr>
          <w:rFonts w:asciiTheme="minorHAnsi" w:eastAsia="Arial" w:hAnsiTheme="minorHAnsi" w:cstheme="minorHAnsi"/>
          <w:b/>
          <w:bCs/>
          <w:i/>
          <w:color w:val="auto"/>
          <w:sz w:val="21"/>
          <w:szCs w:val="21"/>
          <w:u w:val="single"/>
        </w:rPr>
        <w:t>Brokerage Account Commission/Fee Schedules</w:t>
      </w:r>
      <w:r w:rsidR="005B77CF" w:rsidRPr="005F0AE0">
        <w:rPr>
          <w:rFonts w:asciiTheme="minorHAnsi" w:eastAsia="Arial" w:hAnsiTheme="minorHAnsi" w:cstheme="minorHAnsi"/>
          <w:b/>
          <w:bCs/>
          <w:i/>
          <w:color w:val="auto"/>
          <w:sz w:val="21"/>
          <w:szCs w:val="21"/>
          <w:u w:val="single"/>
        </w:rPr>
        <w:t xml:space="preserve"> (sample)</w:t>
      </w:r>
    </w:p>
    <w:tbl>
      <w:tblPr>
        <w:tblW w:w="15865" w:type="dxa"/>
        <w:tblInd w:w="-108" w:type="dxa"/>
        <w:tblBorders>
          <w:top w:val="nil"/>
          <w:left w:val="nil"/>
          <w:bottom w:val="nil"/>
          <w:right w:val="nil"/>
        </w:tblBorders>
        <w:tblLayout w:type="fixed"/>
        <w:tblLook w:val="0000" w:firstRow="0" w:lastRow="0" w:firstColumn="0" w:lastColumn="0" w:noHBand="0" w:noVBand="0"/>
      </w:tblPr>
      <w:tblGrid>
        <w:gridCol w:w="9738"/>
        <w:gridCol w:w="3063"/>
        <w:gridCol w:w="3064"/>
      </w:tblGrid>
      <w:tr w:rsidR="008038FE" w:rsidRPr="005F0AE0" w14:paraId="62FF04A1" w14:textId="77777777" w:rsidTr="0020002F">
        <w:trPr>
          <w:trHeight w:val="87"/>
        </w:trPr>
        <w:tc>
          <w:tcPr>
            <w:tcW w:w="9738" w:type="dxa"/>
          </w:tcPr>
          <w:p w14:paraId="50E023CC" w14:textId="539BAD95" w:rsidR="00E7421C" w:rsidRPr="005F0AE0" w:rsidRDefault="00E7421C" w:rsidP="00361B08">
            <w:pPr>
              <w:widowControl/>
              <w:adjustRightInd w:val="0"/>
              <w:rPr>
                <w:rFonts w:asciiTheme="minorHAnsi" w:eastAsiaTheme="minorHAnsi" w:hAnsiTheme="minorHAnsi" w:cstheme="minorHAnsi"/>
                <w:b/>
                <w:bCs/>
                <w:sz w:val="21"/>
                <w:szCs w:val="21"/>
              </w:rPr>
            </w:pPr>
            <w:r w:rsidRPr="005F0AE0">
              <w:rPr>
                <w:rFonts w:asciiTheme="minorHAnsi" w:eastAsiaTheme="minorHAnsi" w:hAnsiTheme="minorHAnsi" w:cstheme="minorHAnsi"/>
                <w:b/>
                <w:bCs/>
                <w:sz w:val="21"/>
                <w:szCs w:val="21"/>
              </w:rPr>
              <w:t xml:space="preserve">  Equities (U.S.)</w:t>
            </w:r>
            <w:r w:rsidR="007C1172" w:rsidRPr="005F0AE0">
              <w:rPr>
                <w:rFonts w:asciiTheme="minorHAnsi" w:eastAsiaTheme="minorHAnsi" w:hAnsiTheme="minorHAnsi" w:cstheme="minorHAnsi"/>
                <w:b/>
                <w:bCs/>
                <w:sz w:val="21"/>
                <w:szCs w:val="21"/>
              </w:rPr>
              <w:t xml:space="preserve">  </w:t>
            </w:r>
          </w:p>
          <w:p w14:paraId="793BB029" w14:textId="515D1A3C" w:rsidR="00284695" w:rsidRDefault="00284695" w:rsidP="00284695">
            <w:pPr>
              <w:widowControl/>
              <w:adjustRightInd w:val="0"/>
              <w:ind w:left="120"/>
              <w:jc w:val="both"/>
              <w:rPr>
                <w:rFonts w:asciiTheme="minorHAnsi" w:eastAsiaTheme="minorHAnsi" w:hAnsiTheme="minorHAnsi" w:cstheme="minorHAnsi"/>
                <w:color w:val="000000"/>
                <w:sz w:val="21"/>
                <w:szCs w:val="21"/>
              </w:rPr>
            </w:pPr>
            <w:r w:rsidRPr="005F0AE0">
              <w:rPr>
                <w:rFonts w:asciiTheme="minorHAnsi" w:eastAsiaTheme="minorHAnsi" w:hAnsiTheme="minorHAnsi" w:cstheme="minorHAnsi"/>
                <w:bCs/>
                <w:color w:val="000000"/>
                <w:sz w:val="21"/>
                <w:szCs w:val="21"/>
              </w:rPr>
              <w:t xml:space="preserve">While there are essentially infinite combinations of share amounts and prices, our commission schedule is not nearly that complicated. </w:t>
            </w:r>
            <w:r w:rsidR="00B76E7E">
              <w:rPr>
                <w:rFonts w:asciiTheme="minorHAnsi" w:eastAsiaTheme="minorHAnsi" w:hAnsiTheme="minorHAnsi" w:cstheme="minorHAnsi"/>
                <w:bCs/>
                <w:color w:val="000000"/>
                <w:sz w:val="21"/>
                <w:szCs w:val="21"/>
              </w:rPr>
              <w:t>T</w:t>
            </w:r>
            <w:r w:rsidR="00562890">
              <w:rPr>
                <w:rFonts w:asciiTheme="minorHAnsi" w:eastAsiaTheme="minorHAnsi" w:hAnsiTheme="minorHAnsi" w:cstheme="minorHAnsi"/>
                <w:bCs/>
                <w:color w:val="000000"/>
                <w:sz w:val="21"/>
                <w:szCs w:val="21"/>
              </w:rPr>
              <w:t>igress</w:t>
            </w:r>
            <w:r w:rsidR="000B50A9" w:rsidRPr="005F0AE0">
              <w:rPr>
                <w:rFonts w:asciiTheme="minorHAnsi" w:eastAsiaTheme="minorHAnsi" w:hAnsiTheme="minorHAnsi" w:cstheme="minorHAnsi"/>
                <w:bCs/>
                <w:color w:val="000000"/>
                <w:sz w:val="21"/>
                <w:szCs w:val="21"/>
              </w:rPr>
              <w:t xml:space="preserve">’ commission schedule for equities is a function of the number of shares purchased and the execution price. </w:t>
            </w:r>
            <w:r w:rsidRPr="005F0AE0">
              <w:rPr>
                <w:rFonts w:asciiTheme="minorHAnsi" w:eastAsiaTheme="minorHAnsi" w:hAnsiTheme="minorHAnsi" w:cstheme="minorHAnsi"/>
                <w:color w:val="000000"/>
                <w:sz w:val="21"/>
                <w:szCs w:val="21"/>
              </w:rPr>
              <w:t>Following is a chart of representative trades and the associated commission amounts that are charged to you for Stocks, Rights, Warrants, Secondary Market Closed End Funds (CEFs) and Exchange Traded Products (ETPs)</w:t>
            </w:r>
            <w:r w:rsidR="00BC37B1">
              <w:rPr>
                <w:rFonts w:asciiTheme="minorHAnsi" w:eastAsiaTheme="minorHAnsi" w:hAnsiTheme="minorHAnsi" w:cstheme="minorHAnsi"/>
                <w:color w:val="000000"/>
                <w:sz w:val="21"/>
                <w:szCs w:val="21"/>
              </w:rPr>
              <w:t>.</w:t>
            </w:r>
          </w:p>
          <w:p w14:paraId="26CFF846" w14:textId="13746BD3" w:rsidR="00BC37B1" w:rsidRDefault="00BC37B1" w:rsidP="00284695">
            <w:pPr>
              <w:widowControl/>
              <w:adjustRightInd w:val="0"/>
              <w:ind w:left="120"/>
              <w:jc w:val="both"/>
              <w:rPr>
                <w:rFonts w:asciiTheme="minorHAnsi" w:eastAsiaTheme="minorHAnsi" w:hAnsiTheme="minorHAnsi" w:cstheme="minorHAnsi"/>
                <w:color w:val="000000"/>
                <w:sz w:val="21"/>
                <w:szCs w:val="21"/>
              </w:rPr>
            </w:pPr>
          </w:p>
          <w:p w14:paraId="1F39D415" w14:textId="3EC7C6DF" w:rsidR="00BC37B1" w:rsidRPr="005F0AE0" w:rsidRDefault="00BC37B1" w:rsidP="00BC37B1">
            <w:pPr>
              <w:pStyle w:val="Heading2"/>
              <w:spacing w:before="75"/>
              <w:ind w:left="144"/>
              <w:jc w:val="both"/>
              <w:rPr>
                <w:rFonts w:asciiTheme="minorHAnsi" w:hAnsiTheme="minorHAnsi" w:cstheme="minorHAnsi"/>
                <w:b w:val="0"/>
                <w:bCs w:val="0"/>
                <w:iCs/>
                <w:sz w:val="21"/>
                <w:szCs w:val="21"/>
              </w:rPr>
            </w:pPr>
            <w:r w:rsidRPr="005F0AE0">
              <w:rPr>
                <w:rFonts w:asciiTheme="minorHAnsi" w:hAnsiTheme="minorHAnsi" w:cstheme="minorHAnsi"/>
                <w:b w:val="0"/>
                <w:bCs w:val="0"/>
                <w:iCs/>
                <w:sz w:val="21"/>
                <w:szCs w:val="21"/>
              </w:rPr>
              <w:t>Our maximum commission per 100 shares is $97.68 and our overall minimum commission is $50; however, we will often waive that to accommodate very small orders.</w:t>
            </w:r>
          </w:p>
          <w:p w14:paraId="745941AF" w14:textId="77777777" w:rsidR="00BC37B1" w:rsidRPr="005F0AE0" w:rsidRDefault="00BC37B1" w:rsidP="00284695">
            <w:pPr>
              <w:widowControl/>
              <w:adjustRightInd w:val="0"/>
              <w:ind w:left="120"/>
              <w:jc w:val="both"/>
              <w:rPr>
                <w:rFonts w:asciiTheme="minorHAnsi" w:eastAsiaTheme="minorHAnsi" w:hAnsiTheme="minorHAnsi" w:cstheme="minorHAnsi"/>
                <w:color w:val="000000"/>
                <w:sz w:val="21"/>
                <w:szCs w:val="21"/>
              </w:rPr>
            </w:pPr>
          </w:p>
          <w:p w14:paraId="60DA93EE" w14:textId="77777777" w:rsidR="00F30A52" w:rsidRPr="00BC37B1" w:rsidRDefault="00F30A52" w:rsidP="00284695">
            <w:pPr>
              <w:ind w:left="144"/>
              <w:rPr>
                <w:rFonts w:ascii="Calibri" w:eastAsiaTheme="minorHAnsi" w:hAnsi="Calibri" w:cs="Calibri"/>
                <w:b/>
                <w:bCs/>
                <w:color w:val="000000"/>
                <w:sz w:val="16"/>
                <w:szCs w:val="16"/>
              </w:rPr>
            </w:pPr>
          </w:p>
          <w:tbl>
            <w:tblPr>
              <w:tblW w:w="0" w:type="auto"/>
              <w:jc w:val="center"/>
              <w:tblLayout w:type="fixed"/>
              <w:tblCellMar>
                <w:left w:w="0" w:type="dxa"/>
                <w:right w:w="0" w:type="dxa"/>
              </w:tblCellMar>
              <w:tblLook w:val="04A0" w:firstRow="1" w:lastRow="0" w:firstColumn="1" w:lastColumn="0" w:noHBand="0" w:noVBand="1"/>
            </w:tblPr>
            <w:tblGrid>
              <w:gridCol w:w="2790"/>
              <w:gridCol w:w="2790"/>
              <w:gridCol w:w="2790"/>
            </w:tblGrid>
            <w:tr w:rsidR="00F30A52" w:rsidRPr="00BC37B1" w14:paraId="296B38EB" w14:textId="77777777" w:rsidTr="00F30A52">
              <w:trPr>
                <w:trHeight w:val="451"/>
                <w:jc w:val="center"/>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9FBDC" w14:textId="77777777" w:rsidR="00F30A52" w:rsidRPr="00BC37B1" w:rsidRDefault="00F30A52" w:rsidP="00F30A52">
                  <w:pPr>
                    <w:jc w:val="center"/>
                    <w:rPr>
                      <w:sz w:val="16"/>
                      <w:szCs w:val="16"/>
                    </w:rPr>
                  </w:pPr>
                  <w:r w:rsidRPr="00BC37B1">
                    <w:rPr>
                      <w:b/>
                      <w:bCs/>
                      <w:sz w:val="16"/>
                      <w:szCs w:val="16"/>
                    </w:rPr>
                    <w:t># of Shares</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EFFE10" w14:textId="77777777" w:rsidR="00F30A52" w:rsidRPr="00BC37B1" w:rsidRDefault="00F30A52" w:rsidP="00F30A52">
                  <w:pPr>
                    <w:jc w:val="center"/>
                    <w:rPr>
                      <w:sz w:val="16"/>
                      <w:szCs w:val="16"/>
                    </w:rPr>
                  </w:pPr>
                  <w:r w:rsidRPr="00BC37B1">
                    <w:rPr>
                      <w:b/>
                      <w:bCs/>
                      <w:sz w:val="16"/>
                      <w:szCs w:val="16"/>
                    </w:rPr>
                    <w:t>Price (per share)</w:t>
                  </w:r>
                </w:p>
              </w:tc>
              <w:tc>
                <w:tcPr>
                  <w:tcW w:w="2790" w:type="dxa"/>
                  <w:tcBorders>
                    <w:top w:val="single" w:sz="8" w:space="0" w:color="auto"/>
                    <w:left w:val="nil"/>
                    <w:bottom w:val="single" w:sz="8" w:space="0" w:color="auto"/>
                    <w:right w:val="single" w:sz="8" w:space="0" w:color="auto"/>
                  </w:tcBorders>
                  <w:vAlign w:val="center"/>
                  <w:hideMark/>
                </w:tcPr>
                <w:p w14:paraId="39F28F2B" w14:textId="77777777" w:rsidR="00F30A52" w:rsidRPr="00BC37B1" w:rsidRDefault="00F30A52" w:rsidP="00F30A52">
                  <w:pPr>
                    <w:jc w:val="center"/>
                    <w:rPr>
                      <w:b/>
                      <w:bCs/>
                      <w:sz w:val="16"/>
                      <w:szCs w:val="16"/>
                    </w:rPr>
                  </w:pPr>
                  <w:r w:rsidRPr="00BC37B1">
                    <w:rPr>
                      <w:b/>
                      <w:bCs/>
                      <w:sz w:val="16"/>
                      <w:szCs w:val="16"/>
                    </w:rPr>
                    <w:t>Commission</w:t>
                  </w:r>
                </w:p>
              </w:tc>
            </w:tr>
            <w:tr w:rsidR="00F30A52" w:rsidRPr="00BC37B1" w14:paraId="464585BA" w14:textId="77777777" w:rsidTr="00F30A52">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3501D" w14:textId="77777777" w:rsidR="00F30A52" w:rsidRPr="00BC37B1" w:rsidRDefault="00F30A52" w:rsidP="00F30A52">
                  <w:pPr>
                    <w:jc w:val="center"/>
                    <w:rPr>
                      <w:sz w:val="16"/>
                      <w:szCs w:val="16"/>
                    </w:rPr>
                  </w:pPr>
                  <w:r w:rsidRPr="00BC37B1">
                    <w:rPr>
                      <w:sz w:val="16"/>
                      <w:szCs w:val="16"/>
                    </w:rPr>
                    <w:t>100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5199E" w14:textId="77777777" w:rsidR="00F30A52" w:rsidRPr="00BC37B1" w:rsidRDefault="00F30A52" w:rsidP="00F30A52">
                  <w:pPr>
                    <w:jc w:val="center"/>
                    <w:rPr>
                      <w:sz w:val="16"/>
                      <w:szCs w:val="16"/>
                    </w:rPr>
                  </w:pPr>
                  <w:r w:rsidRPr="00BC37B1">
                    <w:rPr>
                      <w:sz w:val="16"/>
                      <w:szCs w:val="16"/>
                    </w:rPr>
                    <w:t>$25</w:t>
                  </w:r>
                </w:p>
              </w:tc>
              <w:tc>
                <w:tcPr>
                  <w:tcW w:w="2790" w:type="dxa"/>
                  <w:tcBorders>
                    <w:top w:val="nil"/>
                    <w:left w:val="nil"/>
                    <w:bottom w:val="single" w:sz="8" w:space="0" w:color="auto"/>
                    <w:right w:val="single" w:sz="8" w:space="0" w:color="auto"/>
                  </w:tcBorders>
                  <w:vAlign w:val="center"/>
                  <w:hideMark/>
                </w:tcPr>
                <w:p w14:paraId="7D4474E6" w14:textId="77777777" w:rsidR="00F30A52" w:rsidRPr="00BC37B1" w:rsidRDefault="00F30A52" w:rsidP="00F30A52">
                  <w:pPr>
                    <w:jc w:val="center"/>
                    <w:rPr>
                      <w:sz w:val="16"/>
                      <w:szCs w:val="16"/>
                    </w:rPr>
                  </w:pPr>
                  <w:r w:rsidRPr="00BC37B1">
                    <w:rPr>
                      <w:sz w:val="16"/>
                      <w:szCs w:val="16"/>
                    </w:rPr>
                    <w:t>$59.71</w:t>
                  </w:r>
                </w:p>
              </w:tc>
            </w:tr>
            <w:tr w:rsidR="00F30A52" w:rsidRPr="00BC37B1" w14:paraId="70A87FCC" w14:textId="77777777" w:rsidTr="00F30A52">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28193E" w14:textId="77777777" w:rsidR="00F30A52" w:rsidRPr="00BC37B1" w:rsidRDefault="00F30A52" w:rsidP="00F30A52">
                  <w:pPr>
                    <w:jc w:val="center"/>
                    <w:rPr>
                      <w:sz w:val="16"/>
                      <w:szCs w:val="16"/>
                    </w:rPr>
                  </w:pPr>
                  <w:r w:rsidRPr="00BC37B1">
                    <w:rPr>
                      <w:sz w:val="16"/>
                      <w:szCs w:val="16"/>
                    </w:rPr>
                    <w:t>500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D5636" w14:textId="77777777" w:rsidR="00F30A52" w:rsidRPr="00BC37B1" w:rsidRDefault="00F30A52" w:rsidP="00F30A52">
                  <w:pPr>
                    <w:jc w:val="center"/>
                    <w:rPr>
                      <w:sz w:val="16"/>
                      <w:szCs w:val="16"/>
                    </w:rPr>
                  </w:pPr>
                  <w:r w:rsidRPr="00BC37B1">
                    <w:rPr>
                      <w:sz w:val="16"/>
                      <w:szCs w:val="16"/>
                    </w:rPr>
                    <w:t>$25</w:t>
                  </w:r>
                </w:p>
              </w:tc>
              <w:tc>
                <w:tcPr>
                  <w:tcW w:w="2790" w:type="dxa"/>
                  <w:tcBorders>
                    <w:top w:val="nil"/>
                    <w:left w:val="nil"/>
                    <w:bottom w:val="single" w:sz="8" w:space="0" w:color="auto"/>
                    <w:right w:val="single" w:sz="8" w:space="0" w:color="auto"/>
                  </w:tcBorders>
                  <w:vAlign w:val="center"/>
                  <w:hideMark/>
                </w:tcPr>
                <w:p w14:paraId="34C124AB" w14:textId="77777777" w:rsidR="00F30A52" w:rsidRPr="00BC37B1" w:rsidRDefault="00F30A52" w:rsidP="00F30A52">
                  <w:pPr>
                    <w:jc w:val="center"/>
                    <w:rPr>
                      <w:sz w:val="16"/>
                      <w:szCs w:val="16"/>
                    </w:rPr>
                  </w:pPr>
                  <w:r w:rsidRPr="00BC37B1">
                    <w:rPr>
                      <w:sz w:val="16"/>
                      <w:szCs w:val="16"/>
                    </w:rPr>
                    <w:t>$247.21</w:t>
                  </w:r>
                </w:p>
              </w:tc>
            </w:tr>
            <w:tr w:rsidR="00F30A52" w:rsidRPr="00BC37B1" w14:paraId="3E5597AF" w14:textId="77777777" w:rsidTr="00F30A52">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BA07C" w14:textId="77777777" w:rsidR="00F30A52" w:rsidRPr="00BC37B1" w:rsidRDefault="00F30A52" w:rsidP="00F30A52">
                  <w:pPr>
                    <w:jc w:val="center"/>
                    <w:rPr>
                      <w:sz w:val="16"/>
                      <w:szCs w:val="16"/>
                    </w:rPr>
                  </w:pPr>
                  <w:r w:rsidRPr="00BC37B1">
                    <w:rPr>
                      <w:sz w:val="16"/>
                      <w:szCs w:val="16"/>
                    </w:rPr>
                    <w:t>1,000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873C4" w14:textId="77777777" w:rsidR="00F30A52" w:rsidRPr="00BC37B1" w:rsidRDefault="00F30A52" w:rsidP="00F30A52">
                  <w:pPr>
                    <w:jc w:val="center"/>
                    <w:rPr>
                      <w:sz w:val="16"/>
                      <w:szCs w:val="16"/>
                    </w:rPr>
                  </w:pPr>
                  <w:r w:rsidRPr="00BC37B1">
                    <w:rPr>
                      <w:sz w:val="16"/>
                      <w:szCs w:val="16"/>
                    </w:rPr>
                    <w:t>$25</w:t>
                  </w:r>
                </w:p>
              </w:tc>
              <w:tc>
                <w:tcPr>
                  <w:tcW w:w="2790" w:type="dxa"/>
                  <w:tcBorders>
                    <w:top w:val="nil"/>
                    <w:left w:val="nil"/>
                    <w:bottom w:val="single" w:sz="8" w:space="0" w:color="auto"/>
                    <w:right w:val="single" w:sz="8" w:space="0" w:color="auto"/>
                  </w:tcBorders>
                  <w:vAlign w:val="center"/>
                  <w:hideMark/>
                </w:tcPr>
                <w:p w14:paraId="52CDDAF4" w14:textId="77777777" w:rsidR="00F30A52" w:rsidRPr="00BC37B1" w:rsidRDefault="00F30A52" w:rsidP="00F30A52">
                  <w:pPr>
                    <w:jc w:val="center"/>
                    <w:rPr>
                      <w:sz w:val="16"/>
                      <w:szCs w:val="16"/>
                    </w:rPr>
                  </w:pPr>
                  <w:r w:rsidRPr="00BC37B1">
                    <w:rPr>
                      <w:sz w:val="16"/>
                      <w:szCs w:val="16"/>
                    </w:rPr>
                    <w:t>$438.82</w:t>
                  </w:r>
                </w:p>
              </w:tc>
            </w:tr>
            <w:tr w:rsidR="00F30A52" w:rsidRPr="00BC37B1" w14:paraId="22DB945F" w14:textId="77777777" w:rsidTr="00F30A52">
              <w:trPr>
                <w:trHeight w:val="97"/>
                <w:jc w:val="center"/>
              </w:trPr>
              <w:tc>
                <w:tcPr>
                  <w:tcW w:w="2790"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tcPr>
                <w:p w14:paraId="74A8F4A1" w14:textId="77777777" w:rsidR="00F30A52" w:rsidRPr="00BC37B1" w:rsidRDefault="00F30A52" w:rsidP="00F30A52">
                  <w:pPr>
                    <w:jc w:val="center"/>
                    <w:rPr>
                      <w:sz w:val="16"/>
                      <w:szCs w:val="16"/>
                    </w:rPr>
                  </w:pPr>
                </w:p>
              </w:tc>
              <w:tc>
                <w:tcPr>
                  <w:tcW w:w="279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tcPr>
                <w:p w14:paraId="10BDBF73" w14:textId="77777777" w:rsidR="00F30A52" w:rsidRPr="00BC37B1" w:rsidRDefault="00F30A52" w:rsidP="00F30A52">
                  <w:pPr>
                    <w:jc w:val="center"/>
                    <w:rPr>
                      <w:sz w:val="16"/>
                      <w:szCs w:val="16"/>
                    </w:rPr>
                  </w:pPr>
                </w:p>
              </w:tc>
              <w:tc>
                <w:tcPr>
                  <w:tcW w:w="2790" w:type="dxa"/>
                  <w:tcBorders>
                    <w:top w:val="nil"/>
                    <w:left w:val="nil"/>
                    <w:bottom w:val="single" w:sz="8" w:space="0" w:color="auto"/>
                    <w:right w:val="single" w:sz="8" w:space="0" w:color="auto"/>
                  </w:tcBorders>
                  <w:shd w:val="clear" w:color="auto" w:fill="000000"/>
                  <w:vAlign w:val="center"/>
                </w:tcPr>
                <w:p w14:paraId="5A665519" w14:textId="77777777" w:rsidR="00F30A52" w:rsidRPr="00BC37B1" w:rsidRDefault="00F30A52" w:rsidP="00F30A52">
                  <w:pPr>
                    <w:jc w:val="center"/>
                    <w:rPr>
                      <w:sz w:val="16"/>
                      <w:szCs w:val="16"/>
                    </w:rPr>
                  </w:pPr>
                </w:p>
              </w:tc>
            </w:tr>
            <w:tr w:rsidR="00F30A52" w:rsidRPr="00BC37B1" w14:paraId="5AD9C5A0" w14:textId="77777777" w:rsidTr="00F30A52">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D7D6C1" w14:textId="77777777" w:rsidR="00F30A52" w:rsidRPr="00BC37B1" w:rsidRDefault="00F30A52" w:rsidP="00F30A52">
                  <w:pPr>
                    <w:jc w:val="center"/>
                    <w:rPr>
                      <w:sz w:val="16"/>
                      <w:szCs w:val="16"/>
                    </w:rPr>
                  </w:pPr>
                  <w:r w:rsidRPr="00BC37B1">
                    <w:rPr>
                      <w:sz w:val="16"/>
                      <w:szCs w:val="16"/>
                    </w:rPr>
                    <w:t>100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68693" w14:textId="77777777" w:rsidR="00F30A52" w:rsidRPr="00BC37B1" w:rsidRDefault="00F30A52" w:rsidP="00F30A52">
                  <w:pPr>
                    <w:jc w:val="center"/>
                    <w:rPr>
                      <w:sz w:val="16"/>
                      <w:szCs w:val="16"/>
                    </w:rPr>
                  </w:pPr>
                  <w:r w:rsidRPr="00BC37B1">
                    <w:rPr>
                      <w:sz w:val="16"/>
                      <w:szCs w:val="16"/>
                    </w:rPr>
                    <w:t>$50</w:t>
                  </w:r>
                </w:p>
              </w:tc>
              <w:tc>
                <w:tcPr>
                  <w:tcW w:w="2790" w:type="dxa"/>
                  <w:tcBorders>
                    <w:top w:val="nil"/>
                    <w:left w:val="nil"/>
                    <w:bottom w:val="single" w:sz="8" w:space="0" w:color="auto"/>
                    <w:right w:val="single" w:sz="8" w:space="0" w:color="auto"/>
                  </w:tcBorders>
                  <w:vAlign w:val="center"/>
                  <w:hideMark/>
                </w:tcPr>
                <w:p w14:paraId="157594CA" w14:textId="77777777" w:rsidR="00F30A52" w:rsidRPr="00BC37B1" w:rsidRDefault="00F30A52" w:rsidP="00F30A52">
                  <w:pPr>
                    <w:jc w:val="center"/>
                    <w:rPr>
                      <w:sz w:val="16"/>
                      <w:szCs w:val="16"/>
                    </w:rPr>
                  </w:pPr>
                  <w:r w:rsidRPr="00BC37B1">
                    <w:rPr>
                      <w:sz w:val="16"/>
                      <w:szCs w:val="16"/>
                    </w:rPr>
                    <w:t>$87.23</w:t>
                  </w:r>
                </w:p>
              </w:tc>
            </w:tr>
            <w:tr w:rsidR="00F30A52" w:rsidRPr="00BC37B1" w14:paraId="181C3039" w14:textId="77777777" w:rsidTr="00F30A52">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F6676" w14:textId="77777777" w:rsidR="00F30A52" w:rsidRPr="00BC37B1" w:rsidRDefault="00F30A52" w:rsidP="00F30A52">
                  <w:pPr>
                    <w:jc w:val="center"/>
                    <w:rPr>
                      <w:sz w:val="16"/>
                      <w:szCs w:val="16"/>
                    </w:rPr>
                  </w:pPr>
                  <w:r w:rsidRPr="00BC37B1">
                    <w:rPr>
                      <w:sz w:val="16"/>
                      <w:szCs w:val="16"/>
                    </w:rPr>
                    <w:t>500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AA6D2" w14:textId="77777777" w:rsidR="00F30A52" w:rsidRPr="00BC37B1" w:rsidRDefault="00F30A52" w:rsidP="00F30A52">
                  <w:pPr>
                    <w:jc w:val="center"/>
                    <w:rPr>
                      <w:sz w:val="16"/>
                      <w:szCs w:val="16"/>
                    </w:rPr>
                  </w:pPr>
                  <w:r w:rsidRPr="00BC37B1">
                    <w:rPr>
                      <w:sz w:val="16"/>
                      <w:szCs w:val="16"/>
                    </w:rPr>
                    <w:t>$50</w:t>
                  </w:r>
                </w:p>
              </w:tc>
              <w:tc>
                <w:tcPr>
                  <w:tcW w:w="2790" w:type="dxa"/>
                  <w:tcBorders>
                    <w:top w:val="nil"/>
                    <w:left w:val="nil"/>
                    <w:bottom w:val="single" w:sz="8" w:space="0" w:color="auto"/>
                    <w:right w:val="single" w:sz="8" w:space="0" w:color="auto"/>
                  </w:tcBorders>
                  <w:vAlign w:val="center"/>
                  <w:hideMark/>
                </w:tcPr>
                <w:p w14:paraId="332E73C6" w14:textId="77777777" w:rsidR="00F30A52" w:rsidRPr="00BC37B1" w:rsidRDefault="00F30A52" w:rsidP="00F30A52">
                  <w:pPr>
                    <w:jc w:val="center"/>
                    <w:rPr>
                      <w:sz w:val="16"/>
                      <w:szCs w:val="16"/>
                    </w:rPr>
                  </w:pPr>
                  <w:r w:rsidRPr="00BC37B1">
                    <w:rPr>
                      <w:sz w:val="16"/>
                      <w:szCs w:val="16"/>
                    </w:rPr>
                    <w:t>$393.73</w:t>
                  </w:r>
                </w:p>
              </w:tc>
            </w:tr>
            <w:tr w:rsidR="00F30A52" w:rsidRPr="00BC37B1" w14:paraId="4811B6F1" w14:textId="77777777" w:rsidTr="00F30A52">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72C484" w14:textId="77777777" w:rsidR="00F30A52" w:rsidRPr="00BC37B1" w:rsidRDefault="00F30A52" w:rsidP="00F30A52">
                  <w:pPr>
                    <w:jc w:val="center"/>
                    <w:rPr>
                      <w:sz w:val="16"/>
                      <w:szCs w:val="16"/>
                    </w:rPr>
                  </w:pPr>
                  <w:r w:rsidRPr="00BC37B1">
                    <w:rPr>
                      <w:sz w:val="16"/>
                      <w:szCs w:val="16"/>
                    </w:rPr>
                    <w:t>1,000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9AC35" w14:textId="77777777" w:rsidR="00F30A52" w:rsidRPr="00BC37B1" w:rsidRDefault="00F30A52" w:rsidP="00F30A52">
                  <w:pPr>
                    <w:jc w:val="center"/>
                    <w:rPr>
                      <w:sz w:val="16"/>
                      <w:szCs w:val="16"/>
                    </w:rPr>
                  </w:pPr>
                  <w:r w:rsidRPr="00BC37B1">
                    <w:rPr>
                      <w:sz w:val="16"/>
                      <w:szCs w:val="16"/>
                    </w:rPr>
                    <w:t>$50</w:t>
                  </w:r>
                </w:p>
              </w:tc>
              <w:tc>
                <w:tcPr>
                  <w:tcW w:w="2790" w:type="dxa"/>
                  <w:tcBorders>
                    <w:top w:val="nil"/>
                    <w:left w:val="nil"/>
                    <w:bottom w:val="single" w:sz="8" w:space="0" w:color="auto"/>
                    <w:right w:val="single" w:sz="8" w:space="0" w:color="auto"/>
                  </w:tcBorders>
                  <w:vAlign w:val="center"/>
                  <w:hideMark/>
                </w:tcPr>
                <w:p w14:paraId="04804633" w14:textId="77777777" w:rsidR="00F30A52" w:rsidRPr="00BC37B1" w:rsidRDefault="00F30A52" w:rsidP="00F30A52">
                  <w:pPr>
                    <w:jc w:val="center"/>
                    <w:rPr>
                      <w:sz w:val="16"/>
                      <w:szCs w:val="16"/>
                    </w:rPr>
                  </w:pPr>
                  <w:r w:rsidRPr="00BC37B1">
                    <w:rPr>
                      <w:sz w:val="16"/>
                      <w:szCs w:val="16"/>
                    </w:rPr>
                    <w:t>$604.13</w:t>
                  </w:r>
                </w:p>
              </w:tc>
            </w:tr>
            <w:tr w:rsidR="00F30A52" w:rsidRPr="00BC37B1" w14:paraId="41D84359" w14:textId="77777777" w:rsidTr="00F30A52">
              <w:trPr>
                <w:trHeight w:val="48"/>
                <w:jc w:val="center"/>
              </w:trPr>
              <w:tc>
                <w:tcPr>
                  <w:tcW w:w="2790"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tcPr>
                <w:p w14:paraId="6AA42007" w14:textId="77777777" w:rsidR="00F30A52" w:rsidRPr="00BC37B1" w:rsidRDefault="00F30A52" w:rsidP="00F30A52">
                  <w:pPr>
                    <w:jc w:val="center"/>
                    <w:rPr>
                      <w:sz w:val="16"/>
                      <w:szCs w:val="16"/>
                    </w:rPr>
                  </w:pPr>
                </w:p>
              </w:tc>
              <w:tc>
                <w:tcPr>
                  <w:tcW w:w="279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tcPr>
                <w:p w14:paraId="356D9CA3" w14:textId="77777777" w:rsidR="00F30A52" w:rsidRPr="00BC37B1" w:rsidRDefault="00F30A52" w:rsidP="00F30A52">
                  <w:pPr>
                    <w:jc w:val="center"/>
                    <w:rPr>
                      <w:sz w:val="16"/>
                      <w:szCs w:val="16"/>
                    </w:rPr>
                  </w:pPr>
                </w:p>
              </w:tc>
              <w:tc>
                <w:tcPr>
                  <w:tcW w:w="2790" w:type="dxa"/>
                  <w:tcBorders>
                    <w:top w:val="nil"/>
                    <w:left w:val="nil"/>
                    <w:bottom w:val="single" w:sz="8" w:space="0" w:color="auto"/>
                    <w:right w:val="single" w:sz="8" w:space="0" w:color="auto"/>
                  </w:tcBorders>
                  <w:shd w:val="clear" w:color="auto" w:fill="000000"/>
                  <w:vAlign w:val="center"/>
                </w:tcPr>
                <w:p w14:paraId="491EE8DD" w14:textId="77777777" w:rsidR="00F30A52" w:rsidRPr="00BC37B1" w:rsidRDefault="00F30A52" w:rsidP="00F30A52">
                  <w:pPr>
                    <w:jc w:val="center"/>
                    <w:rPr>
                      <w:sz w:val="16"/>
                      <w:szCs w:val="16"/>
                    </w:rPr>
                  </w:pPr>
                </w:p>
              </w:tc>
            </w:tr>
            <w:tr w:rsidR="00F30A52" w:rsidRPr="00BC37B1" w14:paraId="14B1B5B1" w14:textId="77777777" w:rsidTr="00F30A52">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C77BD" w14:textId="77777777" w:rsidR="00F30A52" w:rsidRPr="00BC37B1" w:rsidRDefault="00F30A52" w:rsidP="00F30A52">
                  <w:pPr>
                    <w:jc w:val="center"/>
                    <w:rPr>
                      <w:sz w:val="16"/>
                      <w:szCs w:val="16"/>
                    </w:rPr>
                  </w:pPr>
                  <w:r w:rsidRPr="00BC37B1">
                    <w:rPr>
                      <w:sz w:val="16"/>
                      <w:szCs w:val="16"/>
                    </w:rPr>
                    <w:t>100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A4F4C" w14:textId="77777777" w:rsidR="00F30A52" w:rsidRPr="00BC37B1" w:rsidRDefault="00F30A52" w:rsidP="00F30A52">
                  <w:pPr>
                    <w:jc w:val="center"/>
                    <w:rPr>
                      <w:sz w:val="16"/>
                      <w:szCs w:val="16"/>
                    </w:rPr>
                  </w:pPr>
                  <w:r w:rsidRPr="00BC37B1">
                    <w:rPr>
                      <w:sz w:val="16"/>
                      <w:szCs w:val="16"/>
                    </w:rPr>
                    <w:t>$100+</w:t>
                  </w:r>
                </w:p>
              </w:tc>
              <w:tc>
                <w:tcPr>
                  <w:tcW w:w="2790" w:type="dxa"/>
                  <w:tcBorders>
                    <w:top w:val="nil"/>
                    <w:left w:val="nil"/>
                    <w:bottom w:val="single" w:sz="8" w:space="0" w:color="auto"/>
                    <w:right w:val="single" w:sz="8" w:space="0" w:color="auto"/>
                  </w:tcBorders>
                  <w:vAlign w:val="center"/>
                  <w:hideMark/>
                </w:tcPr>
                <w:p w14:paraId="79B0F4F1" w14:textId="77777777" w:rsidR="00F30A52" w:rsidRPr="00BC37B1" w:rsidRDefault="00F30A52" w:rsidP="00F30A52">
                  <w:pPr>
                    <w:jc w:val="center"/>
                    <w:rPr>
                      <w:sz w:val="16"/>
                      <w:szCs w:val="16"/>
                    </w:rPr>
                  </w:pPr>
                  <w:r w:rsidRPr="00BC37B1">
                    <w:rPr>
                      <w:sz w:val="16"/>
                      <w:szCs w:val="16"/>
                    </w:rPr>
                    <w:t>$97.68</w:t>
                  </w:r>
                </w:p>
              </w:tc>
            </w:tr>
            <w:tr w:rsidR="00F30A52" w:rsidRPr="00BC37B1" w14:paraId="16795DBA" w14:textId="77777777" w:rsidTr="00F30A52">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940FC3" w14:textId="77777777" w:rsidR="00F30A52" w:rsidRPr="00BC37B1" w:rsidRDefault="00F30A52" w:rsidP="00F30A52">
                  <w:pPr>
                    <w:jc w:val="center"/>
                    <w:rPr>
                      <w:sz w:val="16"/>
                      <w:szCs w:val="16"/>
                    </w:rPr>
                  </w:pPr>
                  <w:r w:rsidRPr="00BC37B1">
                    <w:rPr>
                      <w:sz w:val="16"/>
                      <w:szCs w:val="16"/>
                    </w:rPr>
                    <w:t>500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D51C1" w14:textId="77777777" w:rsidR="00F30A52" w:rsidRPr="00BC37B1" w:rsidRDefault="00F30A52" w:rsidP="00F30A52">
                  <w:pPr>
                    <w:jc w:val="center"/>
                    <w:rPr>
                      <w:sz w:val="16"/>
                      <w:szCs w:val="16"/>
                    </w:rPr>
                  </w:pPr>
                  <w:r w:rsidRPr="00BC37B1">
                    <w:rPr>
                      <w:sz w:val="16"/>
                      <w:szCs w:val="16"/>
                    </w:rPr>
                    <w:t>$100+</w:t>
                  </w:r>
                </w:p>
              </w:tc>
              <w:tc>
                <w:tcPr>
                  <w:tcW w:w="2790" w:type="dxa"/>
                  <w:tcBorders>
                    <w:top w:val="nil"/>
                    <w:left w:val="nil"/>
                    <w:bottom w:val="single" w:sz="8" w:space="0" w:color="auto"/>
                    <w:right w:val="single" w:sz="8" w:space="0" w:color="auto"/>
                  </w:tcBorders>
                  <w:vAlign w:val="center"/>
                  <w:hideMark/>
                </w:tcPr>
                <w:p w14:paraId="24A62F82" w14:textId="77777777" w:rsidR="00F30A52" w:rsidRPr="00BC37B1" w:rsidRDefault="00F30A52" w:rsidP="00F30A52">
                  <w:pPr>
                    <w:jc w:val="center"/>
                    <w:rPr>
                      <w:sz w:val="16"/>
                      <w:szCs w:val="16"/>
                    </w:rPr>
                  </w:pPr>
                  <w:r w:rsidRPr="00BC37B1">
                    <w:rPr>
                      <w:sz w:val="16"/>
                      <w:szCs w:val="16"/>
                    </w:rPr>
                    <w:t>$488.41</w:t>
                  </w:r>
                </w:p>
              </w:tc>
            </w:tr>
            <w:tr w:rsidR="00F30A52" w:rsidRPr="00BC37B1" w14:paraId="623D02A7" w14:textId="77777777" w:rsidTr="00F30A52">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0D77B2" w14:textId="77777777" w:rsidR="00F30A52" w:rsidRPr="00BC37B1" w:rsidRDefault="00F30A52" w:rsidP="00F30A52">
                  <w:pPr>
                    <w:jc w:val="center"/>
                    <w:rPr>
                      <w:sz w:val="16"/>
                      <w:szCs w:val="16"/>
                    </w:rPr>
                  </w:pPr>
                  <w:r w:rsidRPr="00BC37B1">
                    <w:rPr>
                      <w:sz w:val="16"/>
                      <w:szCs w:val="16"/>
                    </w:rPr>
                    <w:t>1,000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5BA50" w14:textId="77777777" w:rsidR="00F30A52" w:rsidRPr="00BC37B1" w:rsidRDefault="00F30A52" w:rsidP="00F30A52">
                  <w:pPr>
                    <w:jc w:val="center"/>
                    <w:rPr>
                      <w:sz w:val="16"/>
                      <w:szCs w:val="16"/>
                    </w:rPr>
                  </w:pPr>
                  <w:r w:rsidRPr="00BC37B1">
                    <w:rPr>
                      <w:sz w:val="16"/>
                      <w:szCs w:val="16"/>
                    </w:rPr>
                    <w:t>$100+</w:t>
                  </w:r>
                </w:p>
              </w:tc>
              <w:tc>
                <w:tcPr>
                  <w:tcW w:w="2790" w:type="dxa"/>
                  <w:tcBorders>
                    <w:top w:val="nil"/>
                    <w:left w:val="nil"/>
                    <w:bottom w:val="single" w:sz="8" w:space="0" w:color="auto"/>
                    <w:right w:val="single" w:sz="8" w:space="0" w:color="auto"/>
                  </w:tcBorders>
                  <w:vAlign w:val="center"/>
                  <w:hideMark/>
                </w:tcPr>
                <w:p w14:paraId="6AB94FF3" w14:textId="77777777" w:rsidR="00F30A52" w:rsidRPr="00BC37B1" w:rsidRDefault="00F30A52" w:rsidP="00F30A52">
                  <w:pPr>
                    <w:jc w:val="center"/>
                    <w:rPr>
                      <w:sz w:val="16"/>
                      <w:szCs w:val="16"/>
                    </w:rPr>
                  </w:pPr>
                  <w:r w:rsidRPr="00BC37B1">
                    <w:rPr>
                      <w:sz w:val="16"/>
                      <w:szCs w:val="16"/>
                    </w:rPr>
                    <w:t>$904.69</w:t>
                  </w:r>
                </w:p>
              </w:tc>
            </w:tr>
          </w:tbl>
          <w:p w14:paraId="599BB7A7" w14:textId="77777777" w:rsidR="00F30A52" w:rsidRPr="00BC37B1" w:rsidRDefault="00F30A52" w:rsidP="00F30A52">
            <w:pPr>
              <w:pStyle w:val="Heading2"/>
              <w:spacing w:before="75"/>
              <w:rPr>
                <w:rFonts w:ascii="Calibri" w:eastAsia="Times New Roman" w:hAnsi="Calibri" w:cs="Calibri"/>
                <w:i/>
                <w:iCs/>
                <w:sz w:val="16"/>
                <w:szCs w:val="16"/>
              </w:rPr>
            </w:pPr>
          </w:p>
          <w:p w14:paraId="0B867AA1" w14:textId="77777777" w:rsidR="00651223" w:rsidRDefault="00651223" w:rsidP="00651223">
            <w:pPr>
              <w:widowControl/>
              <w:adjustRightInd w:val="0"/>
              <w:ind w:left="144"/>
              <w:jc w:val="both"/>
              <w:rPr>
                <w:rFonts w:asciiTheme="minorHAnsi" w:eastAsiaTheme="minorHAnsi" w:hAnsiTheme="minorHAnsi" w:cstheme="minorHAnsi"/>
                <w:b/>
                <w:color w:val="000000"/>
                <w:sz w:val="21"/>
                <w:szCs w:val="21"/>
              </w:rPr>
            </w:pPr>
          </w:p>
          <w:p w14:paraId="11252A3D"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59D215BD"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6B98DA9C"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6207828A"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5527C950"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7262F274"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58FC37A9"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5EF04168"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420A2C04"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1B476B40"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1DEA28E7"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3B2FF7AA" w14:textId="77777777" w:rsidR="00C727CE" w:rsidRDefault="00C727CE" w:rsidP="00651223">
            <w:pPr>
              <w:widowControl/>
              <w:adjustRightInd w:val="0"/>
              <w:ind w:left="144"/>
              <w:jc w:val="both"/>
              <w:rPr>
                <w:rFonts w:asciiTheme="minorHAnsi" w:eastAsiaTheme="minorHAnsi" w:hAnsiTheme="minorHAnsi" w:cstheme="minorHAnsi"/>
                <w:b/>
                <w:color w:val="000000"/>
                <w:sz w:val="21"/>
                <w:szCs w:val="21"/>
              </w:rPr>
            </w:pPr>
          </w:p>
          <w:p w14:paraId="3A3D151E" w14:textId="77777777" w:rsidR="00C727CE" w:rsidRPr="005F0AE0" w:rsidRDefault="00C727CE" w:rsidP="00651223">
            <w:pPr>
              <w:widowControl/>
              <w:adjustRightInd w:val="0"/>
              <w:ind w:left="144"/>
              <w:jc w:val="both"/>
              <w:rPr>
                <w:rFonts w:asciiTheme="minorHAnsi" w:eastAsiaTheme="minorHAnsi" w:hAnsiTheme="minorHAnsi" w:cstheme="minorHAnsi"/>
                <w:b/>
                <w:color w:val="000000"/>
                <w:sz w:val="21"/>
                <w:szCs w:val="21"/>
              </w:rPr>
            </w:pPr>
          </w:p>
          <w:p w14:paraId="58A58486" w14:textId="651C58C5" w:rsidR="00651223" w:rsidRPr="005F0AE0" w:rsidRDefault="00651223" w:rsidP="00651223">
            <w:pPr>
              <w:widowControl/>
              <w:adjustRightInd w:val="0"/>
              <w:ind w:left="144"/>
              <w:jc w:val="both"/>
              <w:rPr>
                <w:rFonts w:asciiTheme="minorHAnsi" w:eastAsiaTheme="minorHAnsi" w:hAnsiTheme="minorHAnsi" w:cstheme="minorHAnsi"/>
                <w:b/>
                <w:color w:val="000000"/>
                <w:sz w:val="21"/>
                <w:szCs w:val="21"/>
              </w:rPr>
            </w:pPr>
            <w:r w:rsidRPr="005F0AE0">
              <w:rPr>
                <w:rFonts w:asciiTheme="minorHAnsi" w:eastAsiaTheme="minorHAnsi" w:hAnsiTheme="minorHAnsi" w:cstheme="minorHAnsi"/>
                <w:b/>
                <w:color w:val="000000"/>
                <w:sz w:val="21"/>
                <w:szCs w:val="21"/>
              </w:rPr>
              <w:t>Option Rates Equity and Index</w:t>
            </w:r>
          </w:p>
          <w:p w14:paraId="60D9DAF3" w14:textId="77777777" w:rsidR="00651223" w:rsidRPr="005F0AE0" w:rsidRDefault="00651223" w:rsidP="00651223">
            <w:pPr>
              <w:pStyle w:val="BodyText"/>
              <w:ind w:left="144"/>
              <w:jc w:val="both"/>
              <w:rPr>
                <w:rFonts w:asciiTheme="minorHAnsi" w:eastAsiaTheme="minorHAnsi" w:hAnsiTheme="minorHAnsi" w:cstheme="minorHAnsi"/>
                <w:color w:val="000000"/>
                <w:sz w:val="21"/>
                <w:szCs w:val="21"/>
              </w:rPr>
            </w:pPr>
            <w:r w:rsidRPr="005F0AE0">
              <w:rPr>
                <w:rFonts w:asciiTheme="minorHAnsi" w:hAnsiTheme="minorHAnsi" w:cstheme="minorHAnsi"/>
                <w:sz w:val="21"/>
                <w:szCs w:val="21"/>
              </w:rPr>
              <w:t xml:space="preserve">Options compensation is received as direct compensation, as described below. </w:t>
            </w:r>
            <w:r w:rsidRPr="005F0AE0">
              <w:rPr>
                <w:rFonts w:asciiTheme="minorHAnsi" w:eastAsiaTheme="minorHAnsi" w:hAnsiTheme="minorHAnsi" w:cstheme="minorHAnsi"/>
                <w:color w:val="000000"/>
                <w:sz w:val="21"/>
                <w:szCs w:val="21"/>
              </w:rPr>
              <w:t>Following is a chart of representative trades and the associated commission amounts that are charged to you for Equity and Index Options:</w:t>
            </w:r>
          </w:p>
          <w:p w14:paraId="20B1870D" w14:textId="77777777" w:rsidR="00651223" w:rsidRPr="005F0AE0" w:rsidRDefault="00651223" w:rsidP="00651223">
            <w:pPr>
              <w:widowControl/>
              <w:adjustRightInd w:val="0"/>
              <w:rPr>
                <w:rFonts w:asciiTheme="minorHAnsi" w:eastAsiaTheme="minorHAnsi" w:hAnsiTheme="minorHAnsi" w:cstheme="minorHAnsi"/>
                <w:b/>
                <w:bCs/>
                <w:color w:val="000000"/>
                <w:sz w:val="21"/>
                <w:szCs w:val="21"/>
              </w:rPr>
            </w:pPr>
          </w:p>
          <w:tbl>
            <w:tblPr>
              <w:tblW w:w="0" w:type="auto"/>
              <w:jc w:val="center"/>
              <w:tblLayout w:type="fixed"/>
              <w:tblCellMar>
                <w:left w:w="0" w:type="dxa"/>
                <w:right w:w="0" w:type="dxa"/>
              </w:tblCellMar>
              <w:tblLook w:val="04A0" w:firstRow="1" w:lastRow="0" w:firstColumn="1" w:lastColumn="0" w:noHBand="0" w:noVBand="1"/>
            </w:tblPr>
            <w:tblGrid>
              <w:gridCol w:w="2790"/>
              <w:gridCol w:w="2790"/>
              <w:gridCol w:w="2790"/>
            </w:tblGrid>
            <w:tr w:rsidR="00651223" w:rsidRPr="005F0AE0" w14:paraId="3479F096" w14:textId="77777777" w:rsidTr="00B76E7E">
              <w:trPr>
                <w:trHeight w:val="451"/>
                <w:jc w:val="center"/>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96D157" w14:textId="77777777" w:rsidR="00651223" w:rsidRPr="00BC37B1" w:rsidRDefault="00651223" w:rsidP="00651223">
                  <w:pPr>
                    <w:jc w:val="center"/>
                    <w:rPr>
                      <w:rFonts w:asciiTheme="minorHAnsi" w:eastAsiaTheme="minorHAnsi" w:hAnsiTheme="minorHAnsi" w:cstheme="minorHAnsi"/>
                      <w:sz w:val="16"/>
                      <w:szCs w:val="16"/>
                    </w:rPr>
                  </w:pPr>
                  <w:r w:rsidRPr="00BC37B1">
                    <w:rPr>
                      <w:rFonts w:asciiTheme="minorHAnsi" w:hAnsiTheme="minorHAnsi" w:cstheme="minorHAnsi"/>
                      <w:b/>
                      <w:bCs/>
                      <w:sz w:val="16"/>
                      <w:szCs w:val="16"/>
                    </w:rPr>
                    <w:t># of Contracts</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EBB9"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b/>
                      <w:bCs/>
                      <w:sz w:val="16"/>
                      <w:szCs w:val="16"/>
                    </w:rPr>
                    <w:t>Price (per contract)</w:t>
                  </w:r>
                </w:p>
              </w:tc>
              <w:tc>
                <w:tcPr>
                  <w:tcW w:w="2790" w:type="dxa"/>
                  <w:tcBorders>
                    <w:top w:val="single" w:sz="8" w:space="0" w:color="auto"/>
                    <w:left w:val="nil"/>
                    <w:bottom w:val="single" w:sz="8" w:space="0" w:color="auto"/>
                    <w:right w:val="single" w:sz="8" w:space="0" w:color="auto"/>
                  </w:tcBorders>
                  <w:vAlign w:val="center"/>
                </w:tcPr>
                <w:p w14:paraId="4A04C803" w14:textId="77777777" w:rsidR="00651223" w:rsidRPr="00BC37B1" w:rsidRDefault="00651223" w:rsidP="00651223">
                  <w:pPr>
                    <w:jc w:val="center"/>
                    <w:rPr>
                      <w:rFonts w:asciiTheme="minorHAnsi" w:hAnsiTheme="minorHAnsi" w:cstheme="minorHAnsi"/>
                      <w:b/>
                      <w:bCs/>
                      <w:sz w:val="16"/>
                      <w:szCs w:val="16"/>
                    </w:rPr>
                  </w:pPr>
                  <w:r w:rsidRPr="00BC37B1">
                    <w:rPr>
                      <w:rFonts w:asciiTheme="minorHAnsi" w:hAnsiTheme="minorHAnsi" w:cstheme="minorHAnsi"/>
                      <w:b/>
                      <w:bCs/>
                      <w:sz w:val="16"/>
                      <w:szCs w:val="16"/>
                    </w:rPr>
                    <w:t>Commission</w:t>
                  </w:r>
                </w:p>
              </w:tc>
            </w:tr>
            <w:tr w:rsidR="00651223" w:rsidRPr="005F0AE0" w14:paraId="6DC03BC0" w14:textId="77777777" w:rsidTr="00B76E7E">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0F67A2"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079414"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$0.50</w:t>
                  </w:r>
                </w:p>
              </w:tc>
              <w:tc>
                <w:tcPr>
                  <w:tcW w:w="2790" w:type="dxa"/>
                  <w:tcBorders>
                    <w:top w:val="nil"/>
                    <w:left w:val="nil"/>
                    <w:bottom w:val="single" w:sz="8" w:space="0" w:color="auto"/>
                    <w:right w:val="single" w:sz="8" w:space="0" w:color="auto"/>
                  </w:tcBorders>
                  <w:vAlign w:val="center"/>
                </w:tcPr>
                <w:p w14:paraId="6CC8C87C"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$50.00</w:t>
                  </w:r>
                </w:p>
              </w:tc>
            </w:tr>
            <w:tr w:rsidR="00651223" w:rsidRPr="005F0AE0" w14:paraId="47ED0DAA" w14:textId="77777777" w:rsidTr="00B76E7E">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C11496"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5</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3F7E42"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$0.50</w:t>
                  </w:r>
                </w:p>
              </w:tc>
              <w:tc>
                <w:tcPr>
                  <w:tcW w:w="2790" w:type="dxa"/>
                  <w:tcBorders>
                    <w:top w:val="nil"/>
                    <w:left w:val="nil"/>
                    <w:bottom w:val="single" w:sz="8" w:space="0" w:color="auto"/>
                    <w:right w:val="single" w:sz="8" w:space="0" w:color="auto"/>
                  </w:tcBorders>
                  <w:vAlign w:val="center"/>
                </w:tcPr>
                <w:p w14:paraId="52DB738F"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$50.00</w:t>
                  </w:r>
                </w:p>
              </w:tc>
            </w:tr>
            <w:tr w:rsidR="00651223" w:rsidRPr="005F0AE0" w14:paraId="04A9C8D2" w14:textId="77777777" w:rsidTr="00B76E7E">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320EFE"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6171D"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$0.50</w:t>
                  </w:r>
                </w:p>
              </w:tc>
              <w:tc>
                <w:tcPr>
                  <w:tcW w:w="2790" w:type="dxa"/>
                  <w:tcBorders>
                    <w:top w:val="nil"/>
                    <w:left w:val="nil"/>
                    <w:bottom w:val="single" w:sz="8" w:space="0" w:color="auto"/>
                    <w:right w:val="single" w:sz="8" w:space="0" w:color="auto"/>
                  </w:tcBorders>
                  <w:vAlign w:val="center"/>
                </w:tcPr>
                <w:p w14:paraId="6861A2A7"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$62.10</w:t>
                  </w:r>
                </w:p>
              </w:tc>
            </w:tr>
            <w:tr w:rsidR="00651223" w:rsidRPr="005F0AE0" w14:paraId="6C309BC5" w14:textId="77777777" w:rsidTr="00B76E7E">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89E634"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25</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50F810"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$0.50</w:t>
                  </w:r>
                </w:p>
              </w:tc>
              <w:tc>
                <w:tcPr>
                  <w:tcW w:w="2790" w:type="dxa"/>
                  <w:tcBorders>
                    <w:top w:val="nil"/>
                    <w:left w:val="nil"/>
                    <w:bottom w:val="single" w:sz="8" w:space="0" w:color="auto"/>
                    <w:right w:val="single" w:sz="8" w:space="0" w:color="auto"/>
                  </w:tcBorders>
                  <w:vAlign w:val="center"/>
                </w:tcPr>
                <w:p w14:paraId="4E4946DE"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$155.25</w:t>
                  </w:r>
                </w:p>
              </w:tc>
            </w:tr>
            <w:tr w:rsidR="00651223" w:rsidRPr="005F0AE0" w14:paraId="2755BECF" w14:textId="77777777" w:rsidTr="00B76E7E">
              <w:trPr>
                <w:trHeight w:val="48"/>
                <w:jc w:val="center"/>
              </w:trPr>
              <w:tc>
                <w:tcPr>
                  <w:tcW w:w="2790" w:type="dxa"/>
                  <w:tcBorders>
                    <w:top w:val="nil"/>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tcPr>
                <w:p w14:paraId="1FD4CEB4" w14:textId="77777777" w:rsidR="00651223" w:rsidRPr="00BC37B1" w:rsidRDefault="00651223" w:rsidP="00651223">
                  <w:pPr>
                    <w:jc w:val="center"/>
                    <w:rPr>
                      <w:rFonts w:asciiTheme="minorHAnsi" w:hAnsiTheme="minorHAnsi" w:cstheme="minorHAnsi"/>
                      <w:sz w:val="16"/>
                      <w:szCs w:val="16"/>
                    </w:rPr>
                  </w:pPr>
                </w:p>
              </w:tc>
              <w:tc>
                <w:tcPr>
                  <w:tcW w:w="279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tcPr>
                <w:p w14:paraId="420A85DD" w14:textId="77777777" w:rsidR="00651223" w:rsidRPr="00BC37B1" w:rsidRDefault="00651223" w:rsidP="00651223">
                  <w:pPr>
                    <w:jc w:val="center"/>
                    <w:rPr>
                      <w:rFonts w:asciiTheme="minorHAnsi" w:hAnsiTheme="minorHAnsi" w:cstheme="minorHAnsi"/>
                      <w:sz w:val="16"/>
                      <w:szCs w:val="16"/>
                    </w:rPr>
                  </w:pPr>
                </w:p>
              </w:tc>
              <w:tc>
                <w:tcPr>
                  <w:tcW w:w="2790" w:type="dxa"/>
                  <w:tcBorders>
                    <w:top w:val="nil"/>
                    <w:left w:val="nil"/>
                    <w:bottom w:val="single" w:sz="8" w:space="0" w:color="auto"/>
                    <w:right w:val="single" w:sz="8" w:space="0" w:color="auto"/>
                  </w:tcBorders>
                  <w:shd w:val="clear" w:color="auto" w:fill="000000" w:themeFill="text1"/>
                  <w:vAlign w:val="center"/>
                </w:tcPr>
                <w:p w14:paraId="28BE4B26" w14:textId="77777777" w:rsidR="00651223" w:rsidRPr="00BC37B1" w:rsidRDefault="00651223" w:rsidP="00651223">
                  <w:pPr>
                    <w:jc w:val="center"/>
                    <w:rPr>
                      <w:rFonts w:asciiTheme="minorHAnsi" w:hAnsiTheme="minorHAnsi" w:cstheme="minorHAnsi"/>
                      <w:sz w:val="16"/>
                      <w:szCs w:val="16"/>
                    </w:rPr>
                  </w:pPr>
                </w:p>
              </w:tc>
            </w:tr>
            <w:tr w:rsidR="00651223" w:rsidRPr="005F0AE0" w14:paraId="49C2361A" w14:textId="77777777" w:rsidTr="00B76E7E">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85C20D"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721EB3"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$3.00</w:t>
                  </w:r>
                </w:p>
              </w:tc>
              <w:tc>
                <w:tcPr>
                  <w:tcW w:w="2790" w:type="dxa"/>
                  <w:tcBorders>
                    <w:top w:val="nil"/>
                    <w:left w:val="nil"/>
                    <w:bottom w:val="single" w:sz="8" w:space="0" w:color="auto"/>
                    <w:right w:val="single" w:sz="8" w:space="0" w:color="auto"/>
                  </w:tcBorders>
                  <w:vAlign w:val="center"/>
                </w:tcPr>
                <w:p w14:paraId="5A1098C9"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$50.00</w:t>
                  </w:r>
                </w:p>
              </w:tc>
            </w:tr>
            <w:tr w:rsidR="00651223" w:rsidRPr="005F0AE0" w14:paraId="73019A22" w14:textId="77777777" w:rsidTr="00B76E7E">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A2708B"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5</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C449F5"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$3.00</w:t>
                  </w:r>
                </w:p>
              </w:tc>
              <w:tc>
                <w:tcPr>
                  <w:tcW w:w="2790" w:type="dxa"/>
                  <w:tcBorders>
                    <w:top w:val="nil"/>
                    <w:left w:val="nil"/>
                    <w:bottom w:val="single" w:sz="8" w:space="0" w:color="auto"/>
                    <w:right w:val="single" w:sz="8" w:space="0" w:color="auto"/>
                  </w:tcBorders>
                  <w:vAlign w:val="center"/>
                </w:tcPr>
                <w:p w14:paraId="7955FE16"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$70.01</w:t>
                  </w:r>
                </w:p>
              </w:tc>
            </w:tr>
            <w:tr w:rsidR="00651223" w:rsidRPr="005F0AE0" w14:paraId="65DAAEB9" w14:textId="77777777" w:rsidTr="00B76E7E">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830C34"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10</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77F87E"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$3.00</w:t>
                  </w:r>
                </w:p>
              </w:tc>
              <w:tc>
                <w:tcPr>
                  <w:tcW w:w="2790" w:type="dxa"/>
                  <w:tcBorders>
                    <w:top w:val="nil"/>
                    <w:left w:val="nil"/>
                    <w:bottom w:val="single" w:sz="8" w:space="0" w:color="auto"/>
                    <w:right w:val="single" w:sz="8" w:space="0" w:color="auto"/>
                  </w:tcBorders>
                  <w:vAlign w:val="center"/>
                </w:tcPr>
                <w:p w14:paraId="7284A5D4"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$124.09</w:t>
                  </w:r>
                </w:p>
              </w:tc>
            </w:tr>
            <w:tr w:rsidR="00651223" w:rsidRPr="005F0AE0" w14:paraId="529408F2" w14:textId="77777777" w:rsidTr="00B76E7E">
              <w:trPr>
                <w:trHeight w:val="451"/>
                <w:jc w:val="center"/>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6DEC91"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25</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1925BB"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$3.00</w:t>
                  </w:r>
                </w:p>
              </w:tc>
              <w:tc>
                <w:tcPr>
                  <w:tcW w:w="2790" w:type="dxa"/>
                  <w:tcBorders>
                    <w:top w:val="nil"/>
                    <w:left w:val="nil"/>
                    <w:bottom w:val="single" w:sz="8" w:space="0" w:color="auto"/>
                    <w:right w:val="single" w:sz="8" w:space="0" w:color="auto"/>
                  </w:tcBorders>
                  <w:vAlign w:val="center"/>
                </w:tcPr>
                <w:p w14:paraId="7CC95377"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$269.30</w:t>
                  </w:r>
                </w:p>
              </w:tc>
            </w:tr>
            <w:tr w:rsidR="00651223" w:rsidRPr="005F0AE0" w14:paraId="1C9B2D59" w14:textId="77777777" w:rsidTr="00B76E7E">
              <w:trPr>
                <w:trHeight w:val="48"/>
                <w:jc w:val="center"/>
              </w:trPr>
              <w:tc>
                <w:tcPr>
                  <w:tcW w:w="2790"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center"/>
                </w:tcPr>
                <w:p w14:paraId="14280A8D" w14:textId="77777777" w:rsidR="00651223" w:rsidRPr="00BC37B1" w:rsidRDefault="00651223" w:rsidP="00651223">
                  <w:pPr>
                    <w:jc w:val="center"/>
                    <w:rPr>
                      <w:rFonts w:asciiTheme="minorHAnsi" w:hAnsiTheme="minorHAnsi" w:cstheme="minorHAnsi"/>
                      <w:sz w:val="16"/>
                      <w:szCs w:val="16"/>
                    </w:rPr>
                  </w:pPr>
                </w:p>
              </w:tc>
              <w:tc>
                <w:tcPr>
                  <w:tcW w:w="279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tcPr>
                <w:p w14:paraId="5F298682" w14:textId="77777777" w:rsidR="00651223" w:rsidRPr="00BC37B1" w:rsidRDefault="00651223" w:rsidP="00651223">
                  <w:pPr>
                    <w:jc w:val="center"/>
                    <w:rPr>
                      <w:rFonts w:asciiTheme="minorHAnsi" w:hAnsiTheme="minorHAnsi" w:cstheme="minorHAnsi"/>
                      <w:sz w:val="16"/>
                      <w:szCs w:val="16"/>
                    </w:rPr>
                  </w:pPr>
                </w:p>
              </w:tc>
              <w:tc>
                <w:tcPr>
                  <w:tcW w:w="2790" w:type="dxa"/>
                  <w:tcBorders>
                    <w:top w:val="single" w:sz="8" w:space="0" w:color="auto"/>
                    <w:left w:val="nil"/>
                    <w:bottom w:val="single" w:sz="8" w:space="0" w:color="auto"/>
                    <w:right w:val="single" w:sz="8" w:space="0" w:color="auto"/>
                  </w:tcBorders>
                  <w:shd w:val="clear" w:color="auto" w:fill="000000" w:themeFill="text1"/>
                  <w:vAlign w:val="center"/>
                </w:tcPr>
                <w:p w14:paraId="571A0769" w14:textId="77777777" w:rsidR="00651223" w:rsidRPr="00BC37B1" w:rsidRDefault="00651223" w:rsidP="00651223">
                  <w:pPr>
                    <w:jc w:val="center"/>
                    <w:rPr>
                      <w:rFonts w:asciiTheme="minorHAnsi" w:hAnsiTheme="minorHAnsi" w:cstheme="minorHAnsi"/>
                      <w:sz w:val="16"/>
                      <w:szCs w:val="16"/>
                    </w:rPr>
                  </w:pPr>
                </w:p>
              </w:tc>
            </w:tr>
            <w:tr w:rsidR="00651223" w:rsidRPr="005F0AE0" w14:paraId="686A7064" w14:textId="77777777" w:rsidTr="00B76E7E">
              <w:trPr>
                <w:trHeight w:val="451"/>
                <w:jc w:val="center"/>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277FE2"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61BEB1"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$10.00</w:t>
                  </w:r>
                </w:p>
              </w:tc>
              <w:tc>
                <w:tcPr>
                  <w:tcW w:w="2790" w:type="dxa"/>
                  <w:tcBorders>
                    <w:top w:val="single" w:sz="8" w:space="0" w:color="auto"/>
                    <w:left w:val="nil"/>
                    <w:bottom w:val="single" w:sz="8" w:space="0" w:color="auto"/>
                    <w:right w:val="single" w:sz="8" w:space="0" w:color="auto"/>
                  </w:tcBorders>
                  <w:vAlign w:val="center"/>
                </w:tcPr>
                <w:p w14:paraId="36DD71FB"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$50.00</w:t>
                  </w:r>
                </w:p>
              </w:tc>
            </w:tr>
            <w:tr w:rsidR="00651223" w:rsidRPr="005F0AE0" w14:paraId="058C16EC" w14:textId="77777777" w:rsidTr="00B76E7E">
              <w:trPr>
                <w:trHeight w:val="451"/>
                <w:jc w:val="center"/>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668DBC"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5</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58443B"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$10.00</w:t>
                  </w:r>
                </w:p>
              </w:tc>
              <w:tc>
                <w:tcPr>
                  <w:tcW w:w="2790" w:type="dxa"/>
                  <w:tcBorders>
                    <w:top w:val="single" w:sz="8" w:space="0" w:color="auto"/>
                    <w:left w:val="nil"/>
                    <w:bottom w:val="single" w:sz="8" w:space="0" w:color="auto"/>
                    <w:right w:val="single" w:sz="8" w:space="0" w:color="auto"/>
                  </w:tcBorders>
                  <w:vAlign w:val="center"/>
                </w:tcPr>
                <w:p w14:paraId="503E6A98"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$110.43</w:t>
                  </w:r>
                </w:p>
              </w:tc>
            </w:tr>
            <w:tr w:rsidR="00651223" w:rsidRPr="00BC37B1" w14:paraId="296FAD2B" w14:textId="77777777" w:rsidTr="00B76E7E">
              <w:trPr>
                <w:trHeight w:val="451"/>
                <w:jc w:val="center"/>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581D12"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10</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60245D"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$10.00</w:t>
                  </w:r>
                </w:p>
              </w:tc>
              <w:tc>
                <w:tcPr>
                  <w:tcW w:w="2790" w:type="dxa"/>
                  <w:tcBorders>
                    <w:top w:val="single" w:sz="8" w:space="0" w:color="auto"/>
                    <w:left w:val="nil"/>
                    <w:bottom w:val="single" w:sz="8" w:space="0" w:color="auto"/>
                    <w:right w:val="single" w:sz="8" w:space="0" w:color="auto"/>
                  </w:tcBorders>
                  <w:vAlign w:val="center"/>
                </w:tcPr>
                <w:p w14:paraId="705FE20B"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$221.10</w:t>
                  </w:r>
                </w:p>
              </w:tc>
            </w:tr>
            <w:tr w:rsidR="00651223" w:rsidRPr="00BC37B1" w14:paraId="427B5DD0" w14:textId="77777777" w:rsidTr="00B76E7E">
              <w:trPr>
                <w:trHeight w:val="451"/>
                <w:jc w:val="center"/>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531720"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25</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AAEB8F"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$10.00</w:t>
                  </w:r>
                </w:p>
              </w:tc>
              <w:tc>
                <w:tcPr>
                  <w:tcW w:w="2790" w:type="dxa"/>
                  <w:tcBorders>
                    <w:top w:val="single" w:sz="8" w:space="0" w:color="auto"/>
                    <w:left w:val="nil"/>
                    <w:bottom w:val="single" w:sz="8" w:space="0" w:color="auto"/>
                    <w:right w:val="single" w:sz="8" w:space="0" w:color="auto"/>
                  </w:tcBorders>
                  <w:vAlign w:val="center"/>
                </w:tcPr>
                <w:p w14:paraId="6A1BAAFB" w14:textId="77777777" w:rsidR="00651223" w:rsidRPr="00BC37B1" w:rsidRDefault="00651223" w:rsidP="00651223">
                  <w:pPr>
                    <w:jc w:val="center"/>
                    <w:rPr>
                      <w:rFonts w:asciiTheme="minorHAnsi" w:hAnsiTheme="minorHAnsi" w:cstheme="minorHAnsi"/>
                      <w:sz w:val="16"/>
                      <w:szCs w:val="16"/>
                    </w:rPr>
                  </w:pPr>
                  <w:r w:rsidRPr="00BC37B1">
                    <w:rPr>
                      <w:rFonts w:asciiTheme="minorHAnsi" w:hAnsiTheme="minorHAnsi" w:cstheme="minorHAnsi"/>
                      <w:sz w:val="16"/>
                      <w:szCs w:val="16"/>
                    </w:rPr>
                    <w:t>$452.48</w:t>
                  </w:r>
                </w:p>
              </w:tc>
            </w:tr>
          </w:tbl>
          <w:p w14:paraId="11CACD5B" w14:textId="77777777" w:rsidR="00651223" w:rsidRPr="00BC37B1" w:rsidRDefault="00651223" w:rsidP="00651223">
            <w:pPr>
              <w:pStyle w:val="Heading2"/>
              <w:spacing w:before="75"/>
              <w:ind w:left="0"/>
              <w:rPr>
                <w:rFonts w:asciiTheme="minorHAnsi" w:hAnsiTheme="minorHAnsi" w:cstheme="minorHAnsi"/>
                <w:b w:val="0"/>
                <w:bCs w:val="0"/>
                <w:iCs/>
                <w:sz w:val="16"/>
                <w:szCs w:val="16"/>
              </w:rPr>
            </w:pPr>
          </w:p>
          <w:p w14:paraId="2C34D8E7" w14:textId="77777777" w:rsidR="00651223" w:rsidRDefault="00651223" w:rsidP="00651223">
            <w:pPr>
              <w:pStyle w:val="Heading2"/>
              <w:spacing w:before="75"/>
              <w:rPr>
                <w:rFonts w:asciiTheme="minorHAnsi" w:hAnsiTheme="minorHAnsi" w:cstheme="minorHAnsi"/>
                <w:b w:val="0"/>
                <w:bCs w:val="0"/>
                <w:iCs/>
                <w:sz w:val="21"/>
                <w:szCs w:val="21"/>
              </w:rPr>
            </w:pPr>
            <w:r w:rsidRPr="005F0AE0">
              <w:rPr>
                <w:rFonts w:asciiTheme="minorHAnsi" w:hAnsiTheme="minorHAnsi" w:cstheme="minorHAnsi"/>
                <w:b w:val="0"/>
                <w:bCs w:val="0"/>
                <w:iCs/>
                <w:sz w:val="21"/>
                <w:szCs w:val="21"/>
              </w:rPr>
              <w:t>Our maximum commission for a single contract is $86.47 and our overall minimum commission is $50; however, we will often waive that to accommodate very small orders.</w:t>
            </w:r>
          </w:p>
          <w:p w14:paraId="4827D670" w14:textId="77777777" w:rsidR="00651223" w:rsidRPr="005F0AE0" w:rsidRDefault="00651223" w:rsidP="00651223">
            <w:pPr>
              <w:widowControl/>
              <w:adjustRightInd w:val="0"/>
              <w:ind w:left="144"/>
              <w:rPr>
                <w:rFonts w:asciiTheme="minorHAnsi" w:eastAsiaTheme="minorHAnsi" w:hAnsiTheme="minorHAnsi" w:cstheme="minorHAnsi"/>
                <w:b/>
                <w:bCs/>
                <w:sz w:val="21"/>
                <w:szCs w:val="21"/>
              </w:rPr>
            </w:pPr>
          </w:p>
          <w:p w14:paraId="1068355C" w14:textId="411B1CAC" w:rsidR="00651223" w:rsidRPr="005F0AE0" w:rsidRDefault="00651223" w:rsidP="00651223">
            <w:pPr>
              <w:widowControl/>
              <w:adjustRightInd w:val="0"/>
              <w:ind w:left="144"/>
              <w:rPr>
                <w:rFonts w:asciiTheme="minorHAnsi" w:eastAsiaTheme="minorHAnsi" w:hAnsiTheme="minorHAnsi" w:cstheme="minorHAnsi"/>
                <w:b/>
                <w:bCs/>
                <w:sz w:val="21"/>
                <w:szCs w:val="21"/>
              </w:rPr>
            </w:pPr>
            <w:r w:rsidRPr="005F0AE0">
              <w:rPr>
                <w:rFonts w:asciiTheme="minorHAnsi" w:eastAsiaTheme="minorHAnsi" w:hAnsiTheme="minorHAnsi" w:cstheme="minorHAnsi"/>
                <w:b/>
                <w:bCs/>
                <w:sz w:val="21"/>
                <w:szCs w:val="21"/>
              </w:rPr>
              <w:t>Fixed Income Debt Securities (e.g., Municipal Securities, Corporate Bonds, etc.)</w:t>
            </w:r>
          </w:p>
          <w:p w14:paraId="08D3C1A6" w14:textId="77777777" w:rsidR="00651223" w:rsidRPr="005F0AE0" w:rsidRDefault="00651223" w:rsidP="00651223">
            <w:pPr>
              <w:ind w:left="144"/>
              <w:jc w:val="both"/>
              <w:rPr>
                <w:rFonts w:asciiTheme="minorHAnsi" w:hAnsiTheme="minorHAnsi" w:cstheme="minorHAnsi"/>
                <w:sz w:val="21"/>
                <w:szCs w:val="21"/>
              </w:rPr>
            </w:pPr>
            <w:r w:rsidRPr="005F0AE0">
              <w:rPr>
                <w:rFonts w:asciiTheme="minorHAnsi" w:hAnsiTheme="minorHAnsi" w:cstheme="minorHAnsi"/>
                <w:sz w:val="21"/>
                <w:szCs w:val="21"/>
              </w:rPr>
              <w:t>We currently transact in non-proprietary equity and fixed income products and earn a per transaction commission. For debt securities, including preferred securities and CDs, we may apply a charge (i.e., markup) of up to 5% of the amount of your secondary market transaction, depending on a host of transaction-specific details (e.g., par value, interest rate, maturity date). A portion of the commission charged on your transaction is paid to your Financial Professional.</w:t>
            </w:r>
          </w:p>
          <w:p w14:paraId="4DA222FE" w14:textId="77777777" w:rsidR="00651223" w:rsidRPr="005F0AE0" w:rsidRDefault="00651223" w:rsidP="00284695">
            <w:pPr>
              <w:widowControl/>
              <w:adjustRightInd w:val="0"/>
              <w:ind w:left="144"/>
              <w:jc w:val="both"/>
              <w:rPr>
                <w:rFonts w:asciiTheme="minorHAnsi" w:eastAsiaTheme="minorHAnsi" w:hAnsiTheme="minorHAnsi" w:cstheme="minorHAnsi"/>
                <w:b/>
                <w:color w:val="000000"/>
                <w:sz w:val="21"/>
                <w:szCs w:val="21"/>
              </w:rPr>
            </w:pPr>
          </w:p>
          <w:p w14:paraId="0D3F3C1C" w14:textId="77777777" w:rsidR="00064C28" w:rsidRPr="005F0AE0" w:rsidRDefault="00064C28" w:rsidP="00064C28">
            <w:pPr>
              <w:widowControl/>
              <w:adjustRightInd w:val="0"/>
              <w:ind w:firstLine="120"/>
              <w:jc w:val="both"/>
              <w:rPr>
                <w:rFonts w:asciiTheme="minorHAnsi" w:eastAsiaTheme="minorHAnsi" w:hAnsiTheme="minorHAnsi" w:cstheme="minorHAnsi"/>
                <w:b/>
                <w:bCs/>
                <w:sz w:val="21"/>
                <w:szCs w:val="21"/>
              </w:rPr>
            </w:pPr>
            <w:r w:rsidRPr="005F0AE0">
              <w:rPr>
                <w:rFonts w:asciiTheme="minorHAnsi" w:eastAsiaTheme="minorHAnsi" w:hAnsiTheme="minorHAnsi" w:cstheme="minorHAnsi"/>
                <w:b/>
                <w:bCs/>
                <w:sz w:val="21"/>
                <w:szCs w:val="21"/>
              </w:rPr>
              <w:t>Mutual Funds</w:t>
            </w:r>
          </w:p>
          <w:p w14:paraId="4DF1C13B" w14:textId="4DB78D89" w:rsidR="00064C28" w:rsidRPr="005F0AE0" w:rsidRDefault="00064C28" w:rsidP="00064C28">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 xml:space="preserve">We currently offer mutual funds varying in share class structure and investment style. If you invest in mutual funds, we may receive direct and indirect compensation in connection with such mutual fund investments, as </w:t>
            </w:r>
            <w:r w:rsidRPr="005F0AE0">
              <w:rPr>
                <w:rFonts w:asciiTheme="minorHAnsi" w:eastAsiaTheme="minorHAnsi" w:hAnsiTheme="minorHAnsi" w:cstheme="minorHAnsi"/>
                <w:sz w:val="21"/>
                <w:szCs w:val="21"/>
              </w:rPr>
              <w:lastRenderedPageBreak/>
              <w:t xml:space="preserve">described below. The fees associated with the purchase and sale of mutual funds are described in more detail in the </w:t>
            </w:r>
            <w:r w:rsidR="0017396F" w:rsidRPr="005F0AE0">
              <w:rPr>
                <w:rFonts w:asciiTheme="minorHAnsi" w:eastAsiaTheme="minorHAnsi" w:hAnsiTheme="minorHAnsi" w:cstheme="minorHAnsi"/>
                <w:sz w:val="21"/>
                <w:szCs w:val="21"/>
              </w:rPr>
              <w:t>mutual fund prospectus</w:t>
            </w:r>
            <w:r w:rsidRPr="005F0AE0">
              <w:rPr>
                <w:rFonts w:asciiTheme="minorHAnsi" w:eastAsiaTheme="minorHAnsi" w:hAnsiTheme="minorHAnsi" w:cstheme="minorHAnsi"/>
                <w:sz w:val="21"/>
                <w:szCs w:val="21"/>
              </w:rPr>
              <w:t>.</w:t>
            </w:r>
          </w:p>
          <w:p w14:paraId="51A9A0E3" w14:textId="738E0B7D" w:rsidR="002A41EA" w:rsidRPr="005F0AE0" w:rsidRDefault="002A41EA" w:rsidP="00064C28">
            <w:pPr>
              <w:widowControl/>
              <w:adjustRightInd w:val="0"/>
              <w:ind w:left="120"/>
              <w:jc w:val="both"/>
              <w:rPr>
                <w:rFonts w:asciiTheme="minorHAnsi" w:eastAsiaTheme="minorHAnsi" w:hAnsiTheme="minorHAnsi" w:cstheme="minorHAnsi"/>
                <w:sz w:val="21"/>
                <w:szCs w:val="21"/>
              </w:rPr>
            </w:pPr>
          </w:p>
          <w:p w14:paraId="77AB9B05" w14:textId="7E07E769" w:rsidR="002A41EA" w:rsidRPr="005F0AE0" w:rsidRDefault="002A41EA" w:rsidP="002A41EA">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Please Note: Each mutual fund is different and specific fees and charges may be referred to by different names. This summary is intended to be a general overview. You should review the terms of the prospectus for any mutual fund you intend to purchase.</w:t>
            </w:r>
          </w:p>
          <w:p w14:paraId="4E8EE414" w14:textId="487B04AD" w:rsidR="00064C28" w:rsidRPr="005F0AE0" w:rsidRDefault="00064C28" w:rsidP="00064C28">
            <w:pPr>
              <w:widowControl/>
              <w:adjustRightInd w:val="0"/>
              <w:jc w:val="both"/>
              <w:rPr>
                <w:rFonts w:asciiTheme="minorHAnsi" w:eastAsiaTheme="minorHAnsi" w:hAnsiTheme="minorHAnsi" w:cstheme="minorHAnsi"/>
                <w:sz w:val="21"/>
                <w:szCs w:val="21"/>
              </w:rPr>
            </w:pPr>
          </w:p>
          <w:p w14:paraId="72C90579" w14:textId="77777777" w:rsidR="0017396F" w:rsidRPr="005F0AE0" w:rsidRDefault="0017396F" w:rsidP="0017396F">
            <w:pPr>
              <w:widowControl/>
              <w:adjustRightInd w:val="0"/>
              <w:ind w:left="144"/>
              <w:rPr>
                <w:rFonts w:asciiTheme="minorHAnsi" w:eastAsiaTheme="minorHAnsi" w:hAnsiTheme="minorHAnsi" w:cstheme="minorHAnsi"/>
                <w:color w:val="000000"/>
                <w:sz w:val="21"/>
                <w:szCs w:val="21"/>
              </w:rPr>
            </w:pPr>
            <w:r w:rsidRPr="005F0AE0">
              <w:rPr>
                <w:rFonts w:asciiTheme="minorHAnsi" w:eastAsiaTheme="minorHAnsi" w:hAnsiTheme="minorHAnsi" w:cstheme="minorHAnsi"/>
                <w:b/>
                <w:bCs/>
                <w:color w:val="000000"/>
                <w:sz w:val="21"/>
                <w:szCs w:val="21"/>
              </w:rPr>
              <w:t xml:space="preserve">12b-1/Shareholder Service Fees </w:t>
            </w:r>
          </w:p>
          <w:p w14:paraId="24E3F196" w14:textId="3C044D2E" w:rsidR="0017396F" w:rsidRPr="005F0AE0" w:rsidRDefault="0017396F" w:rsidP="0017396F">
            <w:pPr>
              <w:widowControl/>
              <w:adjustRightInd w:val="0"/>
              <w:ind w:left="144"/>
              <w:jc w:val="both"/>
              <w:rPr>
                <w:rFonts w:asciiTheme="minorHAnsi" w:eastAsiaTheme="minorHAnsi" w:hAnsiTheme="minorHAnsi" w:cstheme="minorHAnsi"/>
                <w:sz w:val="21"/>
                <w:szCs w:val="21"/>
              </w:rPr>
            </w:pPr>
            <w:r w:rsidRPr="005F0AE0">
              <w:rPr>
                <w:rFonts w:asciiTheme="minorHAnsi" w:eastAsiaTheme="minorHAnsi" w:hAnsiTheme="minorHAnsi" w:cstheme="minorHAnsi"/>
                <w:color w:val="000000"/>
                <w:sz w:val="21"/>
                <w:szCs w:val="21"/>
              </w:rPr>
              <w:t xml:space="preserve">Annual 12b-1 fees, also known as trails, are paid by the mutual fund and paid to us out of fund assets under a distribution and servicing arrangement to cover distribution expenses and sometimes shareholder service expenses that we may provide on the fund’s behalf. Shareholder servicing fees are paid to respond to investor inquiries and provide investors with information about their investments. These fees are asset-based fees charged by the fund family. These fees range from 0.00% to 1.00%, but the majority of these </w:t>
            </w:r>
            <w:r w:rsidRPr="005F0AE0">
              <w:rPr>
                <w:rFonts w:asciiTheme="minorHAnsi" w:eastAsiaTheme="minorHAnsi" w:hAnsiTheme="minorHAnsi" w:cstheme="minorHAnsi"/>
                <w:sz w:val="21"/>
                <w:szCs w:val="21"/>
              </w:rPr>
              <w:t xml:space="preserve">fees are below 0.85%. These fees may be passed on to us and may in turn be passed on to your Financial Professional as a commission. </w:t>
            </w:r>
          </w:p>
          <w:p w14:paraId="4429CD1A" w14:textId="051BFAC1" w:rsidR="0017396F" w:rsidRPr="005F0AE0" w:rsidRDefault="0017396F" w:rsidP="00064C28">
            <w:pPr>
              <w:widowControl/>
              <w:adjustRightInd w:val="0"/>
              <w:ind w:firstLine="120"/>
              <w:jc w:val="both"/>
              <w:rPr>
                <w:rFonts w:asciiTheme="minorHAnsi" w:eastAsiaTheme="minorHAnsi" w:hAnsiTheme="minorHAnsi" w:cstheme="minorHAnsi"/>
                <w:b/>
                <w:bCs/>
                <w:sz w:val="21"/>
                <w:szCs w:val="21"/>
              </w:rPr>
            </w:pPr>
          </w:p>
          <w:p w14:paraId="1FF8916F" w14:textId="77777777" w:rsidR="0017396F" w:rsidRPr="005F0AE0" w:rsidRDefault="0017396F" w:rsidP="0017396F">
            <w:pPr>
              <w:widowControl/>
              <w:adjustRightInd w:val="0"/>
              <w:ind w:left="144"/>
              <w:rPr>
                <w:rFonts w:asciiTheme="minorHAnsi" w:eastAsiaTheme="minorHAnsi" w:hAnsiTheme="minorHAnsi" w:cstheme="minorHAnsi"/>
                <w:sz w:val="21"/>
                <w:szCs w:val="21"/>
              </w:rPr>
            </w:pPr>
            <w:r w:rsidRPr="005F0AE0">
              <w:rPr>
                <w:rFonts w:asciiTheme="minorHAnsi" w:eastAsiaTheme="minorHAnsi" w:hAnsiTheme="minorHAnsi" w:cstheme="minorHAnsi"/>
                <w:b/>
                <w:bCs/>
                <w:sz w:val="21"/>
                <w:szCs w:val="21"/>
              </w:rPr>
              <w:t xml:space="preserve">Mutual Fund Front-end Sales Charge Fees/Contingent Deferred Sales Charges (CDSC) </w:t>
            </w:r>
          </w:p>
          <w:p w14:paraId="1DF00CFE" w14:textId="77777777" w:rsidR="0017396F" w:rsidRPr="005F0AE0" w:rsidRDefault="0017396F" w:rsidP="0017396F">
            <w:pPr>
              <w:widowControl/>
              <w:adjustRightInd w:val="0"/>
              <w:ind w:left="144"/>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 xml:space="preserve">Front-end sales charge fees may be charged and paid to us, including your Financial Professional, when you purchase a fund. The front-end sales charge is deducted from the initial investment on certain share classes. This charge normally ranges from 0.00% to 5.75%. Some purchases may qualify for a reduced front-end sales charge due to breakpoint discounts based on the amount of the transaction and rights of accumulation. In addition, some purchases may qualify for a sales charge waiver based on the type of account, and/or certain qualifications within the account. You should contact your Financial Professional if you believe you are eligible for sales charge waivers. </w:t>
            </w:r>
          </w:p>
          <w:p w14:paraId="1D2F328F" w14:textId="77777777" w:rsidR="0017396F" w:rsidRPr="005F0AE0" w:rsidRDefault="0017396F" w:rsidP="0017396F">
            <w:pPr>
              <w:widowControl/>
              <w:adjustRightInd w:val="0"/>
              <w:ind w:left="144"/>
              <w:jc w:val="both"/>
              <w:rPr>
                <w:rFonts w:asciiTheme="minorHAnsi" w:eastAsiaTheme="minorHAnsi" w:hAnsiTheme="minorHAnsi" w:cstheme="minorHAnsi"/>
                <w:sz w:val="21"/>
                <w:szCs w:val="21"/>
              </w:rPr>
            </w:pPr>
          </w:p>
          <w:p w14:paraId="1D6F63CE" w14:textId="36B359F6" w:rsidR="0017396F" w:rsidRPr="005F0AE0" w:rsidRDefault="0017396F" w:rsidP="0017396F">
            <w:pPr>
              <w:widowControl/>
              <w:adjustRightInd w:val="0"/>
              <w:ind w:left="144"/>
              <w:jc w:val="both"/>
              <w:rPr>
                <w:rFonts w:asciiTheme="minorHAnsi" w:eastAsiaTheme="minorHAnsi" w:hAnsiTheme="minorHAnsi" w:cstheme="minorHAnsi"/>
                <w:b/>
                <w:bCs/>
                <w:sz w:val="21"/>
                <w:szCs w:val="21"/>
              </w:rPr>
            </w:pPr>
            <w:r w:rsidRPr="005F0AE0">
              <w:rPr>
                <w:rFonts w:asciiTheme="minorHAnsi" w:eastAsiaTheme="minorHAnsi" w:hAnsiTheme="minorHAnsi" w:cstheme="minorHAnsi"/>
                <w:sz w:val="21"/>
                <w:szCs w:val="21"/>
              </w:rPr>
              <w:t>CDSC is a charge you pay upon withdrawal of money from a fund prior to the end of the fund’s CDSC period. CDSC charges range from 0.00% to 5.50%. CDSC periods can range from zero to seven years. This charge typically exists only on share classes which do not have a front-end sales charge. It is sometimes referred to as the back-end load. CDSCs are not charged when you purchase a fund. The fee charged will depend on the share class purchased by the investor. A CDSC is not passed on to your Financial Professional. You can find a description of the amount and payment frequency of all fees and expenses charged and paid by the fund in the fund’s prospectus. Fees and expenses disclosed in the fund’s prospectus are charged against the investment values of the fund.</w:t>
            </w:r>
          </w:p>
          <w:p w14:paraId="111BAC7F" w14:textId="1293EDEA" w:rsidR="00F279E4" w:rsidRPr="005F0AE0" w:rsidRDefault="00F279E4" w:rsidP="00064C28">
            <w:pPr>
              <w:widowControl/>
              <w:adjustRightInd w:val="0"/>
              <w:ind w:left="120"/>
              <w:jc w:val="both"/>
              <w:rPr>
                <w:rFonts w:asciiTheme="minorHAnsi" w:eastAsiaTheme="minorHAnsi" w:hAnsiTheme="minorHAnsi" w:cstheme="minorHAnsi"/>
                <w:sz w:val="21"/>
                <w:szCs w:val="21"/>
              </w:rPr>
            </w:pPr>
          </w:p>
          <w:p w14:paraId="3C7DB039" w14:textId="77777777" w:rsidR="00064C28" w:rsidRPr="005F0AE0" w:rsidRDefault="00064C28" w:rsidP="00064C28">
            <w:pPr>
              <w:widowControl/>
              <w:adjustRightInd w:val="0"/>
              <w:ind w:firstLine="120"/>
              <w:rPr>
                <w:rFonts w:asciiTheme="minorHAnsi" w:eastAsiaTheme="minorHAnsi" w:hAnsiTheme="minorHAnsi" w:cstheme="minorHAnsi"/>
                <w:b/>
                <w:bCs/>
                <w:sz w:val="21"/>
                <w:szCs w:val="21"/>
              </w:rPr>
            </w:pPr>
            <w:r w:rsidRPr="005F0AE0">
              <w:rPr>
                <w:rFonts w:asciiTheme="minorHAnsi" w:eastAsiaTheme="minorHAnsi" w:hAnsiTheme="minorHAnsi" w:cstheme="minorHAnsi"/>
                <w:b/>
                <w:bCs/>
                <w:sz w:val="21"/>
                <w:szCs w:val="21"/>
              </w:rPr>
              <w:t>Unit Investment Trusts (UITs)</w:t>
            </w:r>
          </w:p>
          <w:p w14:paraId="3CDE61BC" w14:textId="0E4EE19B" w:rsidR="00064C28" w:rsidRPr="005F0AE0" w:rsidRDefault="00064C28" w:rsidP="00064C28">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 xml:space="preserve">Our UITs consist of Equity and Fixed-Income UITs. We, along with your financial professional, are compensated in ways that vary depending on the type and terms of the UIT portfolio selected. The types of fees received by us are described below and are disclosed via the prospectus issued by the UIT provider. Your </w:t>
            </w:r>
            <w:r w:rsidR="00B905BD" w:rsidRPr="005F0AE0">
              <w:rPr>
                <w:rFonts w:asciiTheme="minorHAnsi" w:eastAsiaTheme="minorHAnsi" w:hAnsiTheme="minorHAnsi" w:cstheme="minorHAnsi"/>
                <w:sz w:val="21"/>
                <w:szCs w:val="21"/>
              </w:rPr>
              <w:t>Financial Professional</w:t>
            </w:r>
            <w:r w:rsidRPr="005F0AE0">
              <w:rPr>
                <w:rFonts w:asciiTheme="minorHAnsi" w:eastAsiaTheme="minorHAnsi" w:hAnsiTheme="minorHAnsi" w:cstheme="minorHAnsi"/>
                <w:sz w:val="21"/>
                <w:szCs w:val="21"/>
              </w:rPr>
              <w:t xml:space="preserve"> can provide you a copy of the most recent prospectus. </w:t>
            </w:r>
          </w:p>
          <w:p w14:paraId="0331B521" w14:textId="24FE60D9" w:rsidR="00B905BD" w:rsidRPr="005F0AE0" w:rsidRDefault="00B905BD" w:rsidP="00064C28">
            <w:pPr>
              <w:widowControl/>
              <w:adjustRightInd w:val="0"/>
              <w:ind w:left="120"/>
              <w:jc w:val="both"/>
              <w:rPr>
                <w:rFonts w:asciiTheme="minorHAnsi" w:eastAsiaTheme="minorHAnsi" w:hAnsiTheme="minorHAnsi" w:cstheme="minorHAnsi"/>
                <w:sz w:val="21"/>
                <w:szCs w:val="21"/>
              </w:rPr>
            </w:pPr>
          </w:p>
          <w:p w14:paraId="4DD61E9B" w14:textId="459CA650" w:rsidR="00B905BD" w:rsidRPr="005F0AE0" w:rsidRDefault="00B905BD" w:rsidP="00064C28">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All UITs have fees and expenses.</w:t>
            </w:r>
            <w:r w:rsidR="002A41EA" w:rsidRPr="005F0AE0">
              <w:rPr>
                <w:rFonts w:asciiTheme="minorHAnsi" w:eastAsiaTheme="minorHAnsi" w:hAnsiTheme="minorHAnsi" w:cstheme="minorHAnsi"/>
                <w:sz w:val="21"/>
                <w:szCs w:val="21"/>
              </w:rPr>
              <w:t xml:space="preserve"> These costs, like all investing costs, are important to understand because they decrease the return on your investment. UIT fees and expenses can be divided into sales charges and those that relate to the operation of the UIT.</w:t>
            </w:r>
          </w:p>
          <w:p w14:paraId="25A52E1F" w14:textId="4CE713AF" w:rsidR="002A41EA" w:rsidRPr="005F0AE0" w:rsidRDefault="002A41EA" w:rsidP="00064C28">
            <w:pPr>
              <w:widowControl/>
              <w:adjustRightInd w:val="0"/>
              <w:ind w:left="120"/>
              <w:jc w:val="both"/>
              <w:rPr>
                <w:rFonts w:asciiTheme="minorHAnsi" w:eastAsiaTheme="minorHAnsi" w:hAnsiTheme="minorHAnsi" w:cstheme="minorHAnsi"/>
                <w:sz w:val="21"/>
                <w:szCs w:val="21"/>
              </w:rPr>
            </w:pPr>
          </w:p>
          <w:p w14:paraId="57EAF1CC" w14:textId="09D3181E" w:rsidR="002A41EA" w:rsidRPr="005F0AE0" w:rsidRDefault="002A41EA" w:rsidP="00064C28">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 xml:space="preserve">UITs assess sales charges on units you purchase in commission-based brokerage accounts. The sales charge for UITs may be composed of three components. First, an initial sales charge may be applied to your purchase amount. Second, most UITs assess a deferred sales charge. The deferred sales charge is generally deducted in </w:t>
            </w:r>
            <w:r w:rsidRPr="005F0AE0">
              <w:rPr>
                <w:rFonts w:asciiTheme="minorHAnsi" w:eastAsiaTheme="minorHAnsi" w:hAnsiTheme="minorHAnsi" w:cstheme="minorHAnsi"/>
                <w:sz w:val="21"/>
                <w:szCs w:val="21"/>
              </w:rPr>
              <w:lastRenderedPageBreak/>
              <w:t>periodic installments following the end of the initial offering period. Finally, most UITs assess a creation and development fee that compensates the UIT sponsor for creating and developing each UIT, including determining the UIT’s investment objectives and policies, selecting portfolio securities and other functions. The creation and development fee (generally $0.05 per unit) is generally deducted at the end of the initial offering period.</w:t>
            </w:r>
          </w:p>
          <w:p w14:paraId="0250F3F8" w14:textId="76AC25FD" w:rsidR="002A41EA" w:rsidRPr="005F0AE0" w:rsidRDefault="002A41EA" w:rsidP="00064C28">
            <w:pPr>
              <w:widowControl/>
              <w:adjustRightInd w:val="0"/>
              <w:ind w:left="120"/>
              <w:jc w:val="both"/>
              <w:rPr>
                <w:rFonts w:asciiTheme="minorHAnsi" w:eastAsiaTheme="minorHAnsi" w:hAnsiTheme="minorHAnsi" w:cstheme="minorHAnsi"/>
                <w:sz w:val="21"/>
                <w:szCs w:val="21"/>
              </w:rPr>
            </w:pPr>
          </w:p>
          <w:p w14:paraId="6AD369EA" w14:textId="5C2F214B" w:rsidR="002A41EA" w:rsidRPr="005F0AE0" w:rsidRDefault="002A41EA" w:rsidP="00064C28">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 xml:space="preserve">In general, all UITs make a charge against the UIT portfolio’s assets for amounts expended to organize the trust itself. UITs separately deduct for operating expenses, including portfolio supervision, bookkeeping, administrative costs and trading expenses. These amounts will vary with each UIT. </w:t>
            </w:r>
          </w:p>
          <w:p w14:paraId="67EA1A81" w14:textId="77777777" w:rsidR="002A41EA" w:rsidRPr="005F0AE0" w:rsidRDefault="002A41EA" w:rsidP="00064C28">
            <w:pPr>
              <w:widowControl/>
              <w:adjustRightInd w:val="0"/>
              <w:ind w:left="120"/>
              <w:jc w:val="both"/>
              <w:rPr>
                <w:rFonts w:asciiTheme="minorHAnsi" w:eastAsiaTheme="minorHAnsi" w:hAnsiTheme="minorHAnsi" w:cstheme="minorHAnsi"/>
                <w:sz w:val="21"/>
                <w:szCs w:val="21"/>
              </w:rPr>
            </w:pPr>
          </w:p>
          <w:p w14:paraId="453A6442" w14:textId="15FB76D1" w:rsidR="002A41EA" w:rsidRPr="005F0AE0" w:rsidRDefault="002A41EA" w:rsidP="00064C28">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Please Note: Each UIT is different and specific fees and charges may be referred to by different names. Actual charges may differ based on the duration of the UIT and the terms of each UIT’s prospectus. Longer-duration UITs generally have higher sales charges. This summary is intended to be a general overview. You should review the terms of the prospectus for any UIT you intend to purchase.</w:t>
            </w:r>
          </w:p>
          <w:p w14:paraId="3A5839C5" w14:textId="77777777" w:rsidR="00064C28" w:rsidRPr="005F0AE0" w:rsidRDefault="00064C28" w:rsidP="00064C28">
            <w:pPr>
              <w:widowControl/>
              <w:adjustRightInd w:val="0"/>
              <w:rPr>
                <w:rFonts w:asciiTheme="minorHAnsi" w:eastAsiaTheme="minorHAnsi" w:hAnsiTheme="minorHAnsi" w:cstheme="minorHAnsi"/>
                <w:b/>
                <w:bCs/>
                <w:sz w:val="21"/>
                <w:szCs w:val="21"/>
              </w:rPr>
            </w:pPr>
          </w:p>
          <w:p w14:paraId="152348D5" w14:textId="77777777" w:rsidR="00AD7B19" w:rsidRPr="005F0AE0" w:rsidRDefault="00AD7B19" w:rsidP="00AD7B19">
            <w:pPr>
              <w:widowControl/>
              <w:adjustRightInd w:val="0"/>
              <w:ind w:firstLine="120"/>
              <w:jc w:val="both"/>
              <w:rPr>
                <w:rFonts w:asciiTheme="minorHAnsi" w:eastAsiaTheme="minorHAnsi" w:hAnsiTheme="minorHAnsi" w:cstheme="minorHAnsi"/>
                <w:b/>
                <w:bCs/>
                <w:sz w:val="21"/>
                <w:szCs w:val="21"/>
              </w:rPr>
            </w:pPr>
            <w:r w:rsidRPr="005F0AE0">
              <w:rPr>
                <w:rFonts w:asciiTheme="minorHAnsi" w:eastAsiaTheme="minorHAnsi" w:hAnsiTheme="minorHAnsi" w:cstheme="minorHAnsi"/>
                <w:b/>
                <w:bCs/>
                <w:sz w:val="21"/>
                <w:szCs w:val="21"/>
              </w:rPr>
              <w:t>Annuities</w:t>
            </w:r>
          </w:p>
          <w:p w14:paraId="05ADDF0F" w14:textId="77777777" w:rsidR="00AD7B19" w:rsidRPr="005F0AE0" w:rsidRDefault="00AD7B19" w:rsidP="00AD7B19">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Annuities consist of fixed, index, and variable annuities. Under arrangements with insurance carriers, we receive commissions from the insurance companies for the sale of their annuity products, as well as trail commissions which are considered indirect compensation. Commissions and trails paid to us vary by product type and may vary by insurance carrier and will be detailed in the product-specific documentation provided to you prior to or at the time of purchase.</w:t>
            </w:r>
          </w:p>
          <w:p w14:paraId="7A530774" w14:textId="77777777" w:rsidR="00AD7B19" w:rsidRPr="005F0AE0" w:rsidRDefault="00AD7B19" w:rsidP="00AD7B19">
            <w:pPr>
              <w:widowControl/>
              <w:adjustRightInd w:val="0"/>
              <w:ind w:left="120"/>
              <w:jc w:val="both"/>
              <w:rPr>
                <w:rFonts w:asciiTheme="minorHAnsi" w:eastAsiaTheme="minorHAnsi" w:hAnsiTheme="minorHAnsi" w:cstheme="minorHAnsi"/>
                <w:sz w:val="21"/>
                <w:szCs w:val="21"/>
              </w:rPr>
            </w:pPr>
          </w:p>
          <w:p w14:paraId="5E51F881" w14:textId="77777777" w:rsidR="00AD7B19" w:rsidRPr="005F0AE0" w:rsidRDefault="00AD7B19" w:rsidP="00AD7B19">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We want to give you some more information on costs and fees associated with annuities. To start with, a simple rule of thumb to remember about annuity commissions is that the longer the surrender charges last, the higher the commissions. Surrender charges are a penalty you pay if you withdraw money from the annuity within a specific period. The penalty typically goes down over time. When it comes to commissions, an indexed annuity with a 10-year surrender charge period usually pays a higher commission than an indexed annuity with a 5-year surrender charge.</w:t>
            </w:r>
          </w:p>
          <w:p w14:paraId="09B76760" w14:textId="77777777" w:rsidR="00AD7B19" w:rsidRPr="005F0AE0" w:rsidRDefault="00AD7B19" w:rsidP="00AD7B19">
            <w:pPr>
              <w:widowControl/>
              <w:adjustRightInd w:val="0"/>
              <w:ind w:left="120"/>
              <w:jc w:val="both"/>
              <w:rPr>
                <w:rFonts w:asciiTheme="minorHAnsi" w:eastAsiaTheme="minorHAnsi" w:hAnsiTheme="minorHAnsi" w:cstheme="minorHAnsi"/>
                <w:sz w:val="21"/>
                <w:szCs w:val="21"/>
              </w:rPr>
            </w:pPr>
          </w:p>
          <w:p w14:paraId="5C0580AD" w14:textId="77777777" w:rsidR="00AD7B19" w:rsidRPr="005F0AE0" w:rsidRDefault="00AD7B19" w:rsidP="00AD7B19">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 xml:space="preserve">Fixed annuities are the least complex annuity type and have lower commissions than other types. These CD-type annuities typically have no fees and have surrender charges that range from 3 years to 10 years with commissions ranging from 1.00% to 3.00%, depending on the policy term. Commissions on single premium immediate annuities typically range from 1.00% to 3.00%. Deferred income annuities, also known as longevity annuities, charge commissions of 2.00% to 4.00%. </w:t>
            </w:r>
          </w:p>
          <w:p w14:paraId="5A264C88" w14:textId="77777777" w:rsidR="00AD7B19" w:rsidRPr="005F0AE0" w:rsidRDefault="00AD7B19" w:rsidP="00AD7B19">
            <w:pPr>
              <w:widowControl/>
              <w:adjustRightInd w:val="0"/>
              <w:ind w:left="120"/>
              <w:jc w:val="both"/>
              <w:rPr>
                <w:rFonts w:asciiTheme="minorHAnsi" w:eastAsiaTheme="minorHAnsi" w:hAnsiTheme="minorHAnsi" w:cstheme="minorHAnsi"/>
                <w:sz w:val="21"/>
                <w:szCs w:val="21"/>
              </w:rPr>
            </w:pPr>
          </w:p>
          <w:p w14:paraId="0A52D587" w14:textId="77777777" w:rsidR="00AD7B19" w:rsidRPr="005F0AE0" w:rsidRDefault="00AD7B19" w:rsidP="00AD7B19">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The other rule of thumb with annuities is that the more complex the annuity is, the higher the commission typically is to the agent. Variable annuities (VAs) and fixed-index annuities (FIAs) are complex in design and typically pay a higher commission. FIAs can have surrender periods as low as four years, but most have 10 years with a surrender charge. The commission on a 10-year fixed index annuity typically ranges from 6.00% to 8.00%. For VAs, the typical surrender charge period is five to nine years, so the normal commission levels can be 4.00% to 7.00%. Payouts on annuities depend on the specific insurance carrier and will be described in the prospectus.</w:t>
            </w:r>
          </w:p>
          <w:p w14:paraId="26D64089" w14:textId="77777777" w:rsidR="00AD7B19" w:rsidRPr="005F0AE0" w:rsidRDefault="00AD7B19" w:rsidP="00AD7B19">
            <w:pPr>
              <w:widowControl/>
              <w:adjustRightInd w:val="0"/>
              <w:ind w:left="120"/>
              <w:jc w:val="both"/>
              <w:rPr>
                <w:rFonts w:asciiTheme="minorHAnsi" w:eastAsiaTheme="minorHAnsi" w:hAnsiTheme="minorHAnsi" w:cstheme="minorHAnsi"/>
                <w:sz w:val="21"/>
                <w:szCs w:val="21"/>
              </w:rPr>
            </w:pPr>
          </w:p>
          <w:p w14:paraId="04768CDB" w14:textId="77777777" w:rsidR="00AD7B19" w:rsidRPr="005F0AE0" w:rsidRDefault="00AD7B19" w:rsidP="00AD7B19">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 xml:space="preserve">Other fees that vary by insurance carrier may include transfer charges, annual maintenance fees, distribution charges, third-party transfer charges, contract fees, underwriting fees and redemption fees. Please Note: Each annuity is different and specific fees and charges may be referred to by different names. Actual charges may differ based on the duration of the annuity and the terms of each annuity’s prospectus. Longer-duration </w:t>
            </w:r>
            <w:r w:rsidRPr="005F0AE0">
              <w:rPr>
                <w:rFonts w:asciiTheme="minorHAnsi" w:eastAsiaTheme="minorHAnsi" w:hAnsiTheme="minorHAnsi" w:cstheme="minorHAnsi"/>
                <w:sz w:val="21"/>
                <w:szCs w:val="21"/>
              </w:rPr>
              <w:lastRenderedPageBreak/>
              <w:t>annuities generally have higher commission rates. This summary is intended to be a general overview. You should review the terms of the prospectus for any annuity you intend to purchase.</w:t>
            </w:r>
          </w:p>
          <w:p w14:paraId="5306732B" w14:textId="77777777" w:rsidR="00AD7B19" w:rsidRPr="005F0AE0" w:rsidRDefault="00AD7B19" w:rsidP="00AD7B19">
            <w:pPr>
              <w:widowControl/>
              <w:adjustRightInd w:val="0"/>
              <w:ind w:left="144"/>
              <w:jc w:val="both"/>
              <w:rPr>
                <w:rFonts w:asciiTheme="minorHAnsi" w:eastAsiaTheme="minorHAnsi" w:hAnsiTheme="minorHAnsi" w:cstheme="minorHAnsi"/>
                <w:b/>
                <w:color w:val="000000"/>
                <w:sz w:val="21"/>
                <w:szCs w:val="21"/>
              </w:rPr>
            </w:pPr>
          </w:p>
          <w:p w14:paraId="65AD178D" w14:textId="77777777" w:rsidR="00064C28" w:rsidRPr="005F0AE0" w:rsidRDefault="00064C28" w:rsidP="00064C28">
            <w:pPr>
              <w:widowControl/>
              <w:adjustRightInd w:val="0"/>
              <w:ind w:firstLine="120"/>
              <w:rPr>
                <w:rFonts w:asciiTheme="minorHAnsi" w:eastAsiaTheme="minorHAnsi" w:hAnsiTheme="minorHAnsi" w:cstheme="minorHAnsi"/>
                <w:b/>
                <w:bCs/>
                <w:sz w:val="21"/>
                <w:szCs w:val="21"/>
              </w:rPr>
            </w:pPr>
            <w:r w:rsidRPr="005F0AE0">
              <w:rPr>
                <w:rFonts w:asciiTheme="minorHAnsi" w:eastAsiaTheme="minorHAnsi" w:hAnsiTheme="minorHAnsi" w:cstheme="minorHAnsi"/>
                <w:b/>
                <w:bCs/>
                <w:sz w:val="21"/>
                <w:szCs w:val="21"/>
              </w:rPr>
              <w:t>Operational Fees</w:t>
            </w:r>
          </w:p>
          <w:p w14:paraId="3C6D6606" w14:textId="0F77D083" w:rsidR="00064C28" w:rsidRPr="005F0AE0" w:rsidRDefault="00064C28" w:rsidP="00064C28">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There are various operational services provided to you through a brokerage account, most of which are provided and charged by the clearing firm, and some of which we receive compensation</w:t>
            </w:r>
            <w:r w:rsidR="005B77CF" w:rsidRPr="005F0AE0">
              <w:rPr>
                <w:rFonts w:asciiTheme="minorHAnsi" w:eastAsiaTheme="minorHAnsi" w:hAnsiTheme="minorHAnsi" w:cstheme="minorHAnsi"/>
                <w:sz w:val="21"/>
                <w:szCs w:val="21"/>
              </w:rPr>
              <w:t xml:space="preserve"> on</w:t>
            </w:r>
            <w:r w:rsidRPr="005F0AE0">
              <w:rPr>
                <w:rFonts w:asciiTheme="minorHAnsi" w:eastAsiaTheme="minorHAnsi" w:hAnsiTheme="minorHAnsi" w:cstheme="minorHAnsi"/>
                <w:sz w:val="21"/>
                <w:szCs w:val="21"/>
              </w:rPr>
              <w:t>. The fee schedule for these services is described in your account opening documents.</w:t>
            </w:r>
          </w:p>
          <w:p w14:paraId="4BEFB9F0" w14:textId="77777777" w:rsidR="00064C28" w:rsidRPr="005F0AE0" w:rsidRDefault="00064C28" w:rsidP="00064C28">
            <w:pPr>
              <w:widowControl/>
              <w:adjustRightInd w:val="0"/>
              <w:rPr>
                <w:rFonts w:asciiTheme="minorHAnsi" w:eastAsiaTheme="minorHAnsi" w:hAnsiTheme="minorHAnsi" w:cstheme="minorHAnsi"/>
                <w:b/>
                <w:bCs/>
                <w:sz w:val="21"/>
                <w:szCs w:val="21"/>
              </w:rPr>
            </w:pPr>
          </w:p>
          <w:p w14:paraId="46BD0A26" w14:textId="77777777" w:rsidR="00064C28" w:rsidRPr="005F0AE0" w:rsidRDefault="00064C28" w:rsidP="00064C28">
            <w:pPr>
              <w:widowControl/>
              <w:adjustRightInd w:val="0"/>
              <w:ind w:firstLine="120"/>
              <w:rPr>
                <w:rFonts w:asciiTheme="minorHAnsi" w:eastAsiaTheme="minorHAnsi" w:hAnsiTheme="minorHAnsi" w:cstheme="minorHAnsi"/>
                <w:b/>
                <w:bCs/>
                <w:sz w:val="21"/>
                <w:szCs w:val="21"/>
              </w:rPr>
            </w:pPr>
            <w:r w:rsidRPr="005F0AE0">
              <w:rPr>
                <w:rFonts w:asciiTheme="minorHAnsi" w:eastAsiaTheme="minorHAnsi" w:hAnsiTheme="minorHAnsi" w:cstheme="minorHAnsi"/>
                <w:b/>
                <w:bCs/>
                <w:sz w:val="21"/>
                <w:szCs w:val="21"/>
              </w:rPr>
              <w:t>Compensation for Termination of Services</w:t>
            </w:r>
          </w:p>
          <w:p w14:paraId="5D3B251A" w14:textId="77777777" w:rsidR="00064C28" w:rsidRPr="005F0AE0" w:rsidRDefault="00064C28" w:rsidP="00064C28">
            <w:pPr>
              <w:widowControl/>
              <w:adjustRightInd w:val="0"/>
              <w:ind w:left="120"/>
              <w:jc w:val="both"/>
              <w:rPr>
                <w:rFonts w:asciiTheme="minorHAnsi" w:eastAsiaTheme="minorHAnsi" w:hAnsiTheme="minorHAnsi" w:cstheme="minorHAnsi"/>
                <w:sz w:val="21"/>
                <w:szCs w:val="21"/>
              </w:rPr>
            </w:pPr>
            <w:r w:rsidRPr="005F0AE0">
              <w:rPr>
                <w:rFonts w:asciiTheme="minorHAnsi" w:eastAsiaTheme="minorHAnsi" w:hAnsiTheme="minorHAnsi" w:cstheme="minorHAnsi"/>
                <w:sz w:val="21"/>
                <w:szCs w:val="21"/>
              </w:rPr>
              <w:t>Other than any contingent deferred sales charge for a fund (as described under the Mutual Funds section above, if applicable), IRA termination fees (when applicable), and account transfer fees, the firm would not receive any additional compensation in connection with the termination of its services. If you have questions or need additional copies, contact your financial professional.</w:t>
            </w:r>
          </w:p>
          <w:p w14:paraId="410B335B" w14:textId="77777777" w:rsidR="00064C28" w:rsidRPr="005F0AE0" w:rsidRDefault="00064C28" w:rsidP="00064C28">
            <w:pPr>
              <w:widowControl/>
              <w:adjustRightInd w:val="0"/>
              <w:jc w:val="both"/>
              <w:rPr>
                <w:rFonts w:asciiTheme="minorHAnsi" w:eastAsiaTheme="minorHAnsi" w:hAnsiTheme="minorHAnsi" w:cstheme="minorHAnsi"/>
                <w:b/>
                <w:bCs/>
                <w:sz w:val="21"/>
                <w:szCs w:val="21"/>
              </w:rPr>
            </w:pPr>
          </w:p>
          <w:p w14:paraId="65BE0CE3" w14:textId="77777777" w:rsidR="00064C28" w:rsidRPr="005F0AE0" w:rsidRDefault="00064C28" w:rsidP="00064C28">
            <w:pPr>
              <w:widowControl/>
              <w:adjustRightInd w:val="0"/>
              <w:ind w:firstLine="120"/>
              <w:jc w:val="both"/>
              <w:rPr>
                <w:rFonts w:asciiTheme="minorHAnsi" w:eastAsiaTheme="minorHAnsi" w:hAnsiTheme="minorHAnsi" w:cstheme="minorHAnsi"/>
                <w:b/>
                <w:bCs/>
                <w:sz w:val="21"/>
                <w:szCs w:val="21"/>
              </w:rPr>
            </w:pPr>
            <w:r w:rsidRPr="005F0AE0">
              <w:rPr>
                <w:rFonts w:asciiTheme="minorHAnsi" w:eastAsiaTheme="minorHAnsi" w:hAnsiTheme="minorHAnsi" w:cstheme="minorHAnsi"/>
                <w:b/>
                <w:bCs/>
                <w:sz w:val="21"/>
                <w:szCs w:val="21"/>
              </w:rPr>
              <w:t>Brokerage – Excluded Advisory Assets</w:t>
            </w:r>
          </w:p>
          <w:p w14:paraId="79E22C53" w14:textId="0F8F6680" w:rsidR="008038FE" w:rsidRPr="005F0AE0" w:rsidRDefault="00064C28" w:rsidP="005B77CF">
            <w:pPr>
              <w:widowControl/>
              <w:adjustRightInd w:val="0"/>
              <w:ind w:left="120"/>
              <w:jc w:val="both"/>
              <w:rPr>
                <w:rFonts w:asciiTheme="minorHAnsi" w:eastAsiaTheme="minorHAnsi" w:hAnsiTheme="minorHAnsi" w:cstheme="minorHAnsi"/>
                <w:color w:val="000000"/>
                <w:sz w:val="21"/>
                <w:szCs w:val="21"/>
              </w:rPr>
            </w:pPr>
            <w:r w:rsidRPr="005F0AE0">
              <w:rPr>
                <w:rFonts w:asciiTheme="minorHAnsi" w:eastAsiaTheme="minorHAnsi" w:hAnsiTheme="minorHAnsi" w:cstheme="minorHAnsi"/>
                <w:sz w:val="21"/>
                <w:szCs w:val="21"/>
              </w:rPr>
              <w:t xml:space="preserve">As described above, our brokerage services differ from our advisory services. However, in rare instances we may allow an advisory customer to trade what are referred to as “excluded assets” within their advisory services account. Excluded assets are not subject to our advisory program fees. Instead of our advisory fees, these excluded assets </w:t>
            </w:r>
            <w:r w:rsidRPr="005F0AE0">
              <w:rPr>
                <w:rFonts w:asciiTheme="minorHAnsi" w:hAnsiTheme="minorHAnsi" w:cstheme="minorHAnsi"/>
                <w:sz w:val="21"/>
                <w:szCs w:val="21"/>
              </w:rPr>
              <w:t>are subject to our standard brokerage charges when traded.</w:t>
            </w:r>
          </w:p>
        </w:tc>
        <w:tc>
          <w:tcPr>
            <w:tcW w:w="3063" w:type="dxa"/>
          </w:tcPr>
          <w:p w14:paraId="74CB77AA" w14:textId="77777777" w:rsidR="008038FE" w:rsidRPr="005F0AE0" w:rsidRDefault="008038FE" w:rsidP="008038FE">
            <w:pPr>
              <w:widowControl/>
              <w:adjustRightInd w:val="0"/>
              <w:rPr>
                <w:rFonts w:asciiTheme="minorHAnsi" w:eastAsiaTheme="minorHAnsi" w:hAnsiTheme="minorHAnsi" w:cstheme="minorHAnsi"/>
                <w:color w:val="000000"/>
                <w:sz w:val="21"/>
                <w:szCs w:val="21"/>
              </w:rPr>
            </w:pPr>
          </w:p>
        </w:tc>
        <w:tc>
          <w:tcPr>
            <w:tcW w:w="3064" w:type="dxa"/>
          </w:tcPr>
          <w:p w14:paraId="3CBABD5A" w14:textId="77777777" w:rsidR="008038FE" w:rsidRPr="005F0AE0" w:rsidRDefault="008038FE" w:rsidP="008038FE">
            <w:pPr>
              <w:widowControl/>
              <w:adjustRightInd w:val="0"/>
              <w:rPr>
                <w:rFonts w:asciiTheme="minorHAnsi" w:eastAsiaTheme="minorHAnsi" w:hAnsiTheme="minorHAnsi" w:cstheme="minorHAnsi"/>
                <w:color w:val="000000"/>
                <w:sz w:val="21"/>
                <w:szCs w:val="21"/>
              </w:rPr>
            </w:pPr>
          </w:p>
        </w:tc>
      </w:tr>
    </w:tbl>
    <w:p w14:paraId="11E783DE" w14:textId="2B1AD7BD" w:rsidR="00766B05" w:rsidRPr="005F0AE0" w:rsidRDefault="00766B05" w:rsidP="003D5D05">
      <w:pPr>
        <w:widowControl/>
        <w:adjustRightInd w:val="0"/>
        <w:rPr>
          <w:rFonts w:asciiTheme="minorHAnsi" w:eastAsiaTheme="minorHAnsi" w:hAnsiTheme="minorHAnsi" w:cstheme="minorHAnsi"/>
          <w:b/>
          <w:bCs/>
          <w:sz w:val="21"/>
          <w:szCs w:val="21"/>
        </w:rPr>
      </w:pPr>
    </w:p>
    <w:p w14:paraId="4CA11FCB" w14:textId="2D6415EE" w:rsidR="00AB4D79" w:rsidRPr="004A059C" w:rsidRDefault="00AB4D79" w:rsidP="00412143">
      <w:pPr>
        <w:pStyle w:val="Heading1"/>
        <w:ind w:left="144"/>
        <w:rPr>
          <w:rFonts w:asciiTheme="minorHAnsi" w:hAnsiTheme="minorHAnsi" w:cstheme="minorHAnsi"/>
          <w:sz w:val="32"/>
          <w:szCs w:val="32"/>
          <w:u w:val="none"/>
        </w:rPr>
      </w:pPr>
      <w:bookmarkStart w:id="11" w:name="WellsTrade®_account_commissions_and_fees"/>
      <w:bookmarkStart w:id="12" w:name="Stocks_and_Exchange-Traded_Funds_(ETFs)"/>
      <w:bookmarkStart w:id="13" w:name="Penny_Stocks"/>
      <w:bookmarkStart w:id="14" w:name="Mutual_Funds"/>
      <w:bookmarkStart w:id="15" w:name="Compensation_to_Wells_Fargo_Advisors"/>
      <w:bookmarkStart w:id="16" w:name="Qualification_for_discounted_pricing_wit"/>
      <w:bookmarkStart w:id="17" w:name="_Toc38290474"/>
      <w:bookmarkEnd w:id="11"/>
      <w:bookmarkEnd w:id="12"/>
      <w:bookmarkEnd w:id="13"/>
      <w:bookmarkEnd w:id="14"/>
      <w:bookmarkEnd w:id="15"/>
      <w:bookmarkEnd w:id="16"/>
      <w:r w:rsidRPr="004A059C">
        <w:rPr>
          <w:rFonts w:asciiTheme="minorHAnsi" w:hAnsiTheme="minorHAnsi" w:cstheme="minorHAnsi"/>
          <w:sz w:val="32"/>
          <w:szCs w:val="32"/>
          <w:u w:val="none"/>
        </w:rPr>
        <w:t xml:space="preserve">Conflicts of </w:t>
      </w:r>
      <w:r w:rsidR="00BC37B1">
        <w:rPr>
          <w:rFonts w:asciiTheme="minorHAnsi" w:hAnsiTheme="minorHAnsi" w:cstheme="minorHAnsi"/>
          <w:sz w:val="32"/>
          <w:szCs w:val="32"/>
          <w:u w:val="none"/>
        </w:rPr>
        <w:t>I</w:t>
      </w:r>
      <w:r w:rsidRPr="004A059C">
        <w:rPr>
          <w:rFonts w:asciiTheme="minorHAnsi" w:hAnsiTheme="minorHAnsi" w:cstheme="minorHAnsi"/>
          <w:sz w:val="32"/>
          <w:szCs w:val="32"/>
          <w:u w:val="none"/>
        </w:rPr>
        <w:t>nterest</w:t>
      </w:r>
      <w:bookmarkEnd w:id="17"/>
      <w:r w:rsidR="001067C7" w:rsidRPr="004A059C">
        <w:rPr>
          <w:rFonts w:asciiTheme="minorHAnsi" w:hAnsiTheme="minorHAnsi" w:cstheme="minorHAnsi"/>
          <w:sz w:val="32"/>
          <w:szCs w:val="32"/>
          <w:u w:val="none"/>
        </w:rPr>
        <w:t xml:space="preserve"> </w:t>
      </w:r>
    </w:p>
    <w:p w14:paraId="3331712C" w14:textId="6C972510" w:rsidR="000B50A9" w:rsidRPr="005F0AE0" w:rsidRDefault="00951831" w:rsidP="000B50A9">
      <w:pPr>
        <w:pStyle w:val="BodyText"/>
        <w:kinsoku w:val="0"/>
        <w:overflowPunct w:val="0"/>
        <w:spacing w:before="56"/>
        <w:ind w:left="144"/>
        <w:jc w:val="both"/>
        <w:rPr>
          <w:rFonts w:asciiTheme="minorHAnsi" w:hAnsiTheme="minorHAnsi" w:cstheme="minorHAnsi"/>
          <w:iCs/>
          <w:sz w:val="21"/>
          <w:szCs w:val="21"/>
        </w:rPr>
      </w:pPr>
      <w:r w:rsidRPr="005F0AE0">
        <w:rPr>
          <w:rFonts w:asciiTheme="minorHAnsi" w:hAnsiTheme="minorHAnsi" w:cstheme="minorHAnsi"/>
          <w:iCs/>
          <w:sz w:val="21"/>
          <w:szCs w:val="21"/>
        </w:rPr>
        <w:t xml:space="preserve">Conflicts of interest </w:t>
      </w:r>
      <w:r w:rsidR="00E01409" w:rsidRPr="005F0AE0">
        <w:rPr>
          <w:rFonts w:asciiTheme="minorHAnsi" w:hAnsiTheme="minorHAnsi" w:cstheme="minorHAnsi"/>
          <w:iCs/>
          <w:sz w:val="21"/>
          <w:szCs w:val="21"/>
        </w:rPr>
        <w:t>exist when we provide</w:t>
      </w:r>
      <w:r w:rsidRPr="005F0AE0">
        <w:rPr>
          <w:rFonts w:asciiTheme="minorHAnsi" w:hAnsiTheme="minorHAnsi" w:cstheme="minorHAnsi"/>
          <w:iCs/>
          <w:sz w:val="21"/>
          <w:szCs w:val="21"/>
        </w:rPr>
        <w:t xml:space="preserve"> brokerage services to you. </w:t>
      </w:r>
      <w:r w:rsidR="0028159E" w:rsidRPr="005F0AE0">
        <w:rPr>
          <w:rFonts w:asciiTheme="minorHAnsi" w:hAnsiTheme="minorHAnsi" w:cstheme="minorHAnsi"/>
          <w:iCs/>
          <w:sz w:val="21"/>
          <w:szCs w:val="21"/>
        </w:rPr>
        <w:t xml:space="preserve">The SEC definition of a “conflict of interest” that is associated with a recommendation is “an interest that might incline a broker, dealer, or a natural person who is an associated person of a broker or dealer— consciously or unconsciously—to make a recommendation that is not disinterested. </w:t>
      </w:r>
      <w:r w:rsidRPr="005F0AE0">
        <w:rPr>
          <w:rFonts w:asciiTheme="minorHAnsi" w:hAnsiTheme="minorHAnsi" w:cstheme="minorHAnsi"/>
          <w:iCs/>
          <w:sz w:val="21"/>
          <w:szCs w:val="21"/>
        </w:rPr>
        <w:t xml:space="preserve">The mere presence of </w:t>
      </w:r>
      <w:r w:rsidR="00A750D6" w:rsidRPr="005F0AE0">
        <w:rPr>
          <w:rFonts w:asciiTheme="minorHAnsi" w:hAnsiTheme="minorHAnsi" w:cstheme="minorHAnsi"/>
          <w:iCs/>
          <w:sz w:val="21"/>
          <w:szCs w:val="21"/>
        </w:rPr>
        <w:t xml:space="preserve">a </w:t>
      </w:r>
      <w:r w:rsidRPr="005F0AE0">
        <w:rPr>
          <w:rFonts w:asciiTheme="minorHAnsi" w:hAnsiTheme="minorHAnsi" w:cstheme="minorHAnsi"/>
          <w:iCs/>
          <w:sz w:val="21"/>
          <w:szCs w:val="21"/>
        </w:rPr>
        <w:t xml:space="preserve">conflict of interest does not imply that harm to your interests will occur, but it is important that we acknowledge </w:t>
      </w:r>
      <w:r w:rsidR="0028159E" w:rsidRPr="005F0AE0">
        <w:rPr>
          <w:rFonts w:asciiTheme="minorHAnsi" w:hAnsiTheme="minorHAnsi" w:cstheme="minorHAnsi"/>
          <w:iCs/>
          <w:sz w:val="21"/>
          <w:szCs w:val="21"/>
        </w:rPr>
        <w:t xml:space="preserve">and disclose </w:t>
      </w:r>
      <w:r w:rsidRPr="005F0AE0">
        <w:rPr>
          <w:rFonts w:asciiTheme="minorHAnsi" w:hAnsiTheme="minorHAnsi" w:cstheme="minorHAnsi"/>
          <w:iCs/>
          <w:sz w:val="21"/>
          <w:szCs w:val="21"/>
        </w:rPr>
        <w:t>the presence of conflicts</w:t>
      </w:r>
      <w:r w:rsidR="003F3695" w:rsidRPr="005F0AE0">
        <w:rPr>
          <w:rFonts w:asciiTheme="minorHAnsi" w:hAnsiTheme="minorHAnsi" w:cstheme="minorHAnsi"/>
          <w:iCs/>
          <w:sz w:val="21"/>
          <w:szCs w:val="21"/>
        </w:rPr>
        <w:t>. Moreover, our regulatory obligations require that we establish, maintain, and enforce written policies and procedures reasonably designed to address conflicts of interest</w:t>
      </w:r>
      <w:r w:rsidR="0028159E" w:rsidRPr="005F0AE0">
        <w:rPr>
          <w:rFonts w:asciiTheme="minorHAnsi" w:hAnsiTheme="minorHAnsi" w:cstheme="minorHAnsi"/>
          <w:iCs/>
          <w:sz w:val="21"/>
          <w:szCs w:val="21"/>
        </w:rPr>
        <w:t xml:space="preserve"> </w:t>
      </w:r>
      <w:r w:rsidR="003F3695" w:rsidRPr="005F0AE0">
        <w:rPr>
          <w:rFonts w:asciiTheme="minorHAnsi" w:hAnsiTheme="minorHAnsi" w:cstheme="minorHAnsi"/>
          <w:iCs/>
          <w:sz w:val="21"/>
          <w:szCs w:val="21"/>
        </w:rPr>
        <w:t xml:space="preserve">associated with </w:t>
      </w:r>
      <w:r w:rsidR="000B50A9" w:rsidRPr="005F0AE0">
        <w:rPr>
          <w:rFonts w:asciiTheme="minorHAnsi" w:hAnsiTheme="minorHAnsi" w:cstheme="minorHAnsi"/>
          <w:iCs/>
          <w:sz w:val="21"/>
          <w:szCs w:val="21"/>
        </w:rPr>
        <w:t>our recommendations to you.</w:t>
      </w:r>
    </w:p>
    <w:p w14:paraId="298D8B3E" w14:textId="77777777" w:rsidR="000B50A9" w:rsidRPr="005F0AE0" w:rsidRDefault="000B50A9" w:rsidP="00412143">
      <w:pPr>
        <w:pStyle w:val="BodyText"/>
        <w:kinsoku w:val="0"/>
        <w:overflowPunct w:val="0"/>
        <w:spacing w:before="56"/>
        <w:ind w:left="144"/>
        <w:jc w:val="both"/>
        <w:rPr>
          <w:rFonts w:asciiTheme="minorHAnsi" w:hAnsiTheme="minorHAnsi" w:cstheme="minorHAnsi"/>
          <w:sz w:val="21"/>
          <w:szCs w:val="21"/>
        </w:rPr>
      </w:pPr>
    </w:p>
    <w:p w14:paraId="254156E2" w14:textId="7D75C182" w:rsidR="00A750D6" w:rsidRPr="005F0AE0" w:rsidRDefault="00342688" w:rsidP="00412143">
      <w:pPr>
        <w:pStyle w:val="BodyText"/>
        <w:kinsoku w:val="0"/>
        <w:overflowPunct w:val="0"/>
        <w:spacing w:before="56"/>
        <w:ind w:left="144"/>
        <w:jc w:val="both"/>
        <w:rPr>
          <w:rFonts w:asciiTheme="minorHAnsi" w:hAnsiTheme="minorHAnsi" w:cstheme="minorHAnsi"/>
          <w:iCs/>
          <w:sz w:val="21"/>
          <w:szCs w:val="21"/>
        </w:rPr>
      </w:pPr>
      <w:r w:rsidRPr="005F0AE0">
        <w:rPr>
          <w:rFonts w:asciiTheme="minorHAnsi" w:hAnsiTheme="minorHAnsi" w:cstheme="minorHAnsi"/>
          <w:sz w:val="21"/>
          <w:szCs w:val="21"/>
        </w:rPr>
        <w:t>O</w:t>
      </w:r>
      <w:r w:rsidR="00A750D6" w:rsidRPr="005F0AE0">
        <w:rPr>
          <w:rFonts w:asciiTheme="minorHAnsi" w:hAnsiTheme="minorHAnsi" w:cstheme="minorHAnsi"/>
          <w:iCs/>
          <w:sz w:val="21"/>
          <w:szCs w:val="21"/>
        </w:rPr>
        <w:t xml:space="preserve">ur conflicts of interest are typically the result of compensation structures and other financial arrangements between us, our </w:t>
      </w:r>
      <w:r w:rsidR="00EE0452" w:rsidRPr="005F0AE0">
        <w:rPr>
          <w:rFonts w:asciiTheme="minorHAnsi" w:hAnsiTheme="minorHAnsi" w:cstheme="minorHAnsi"/>
          <w:iCs/>
          <w:sz w:val="21"/>
          <w:szCs w:val="21"/>
        </w:rPr>
        <w:t>Financial Professional</w:t>
      </w:r>
      <w:r w:rsidR="00A750D6" w:rsidRPr="005F0AE0">
        <w:rPr>
          <w:rFonts w:asciiTheme="minorHAnsi" w:hAnsiTheme="minorHAnsi" w:cstheme="minorHAnsi"/>
          <w:iCs/>
          <w:sz w:val="21"/>
          <w:szCs w:val="21"/>
        </w:rPr>
        <w:t>s</w:t>
      </w:r>
      <w:r w:rsidR="00D4484B" w:rsidRPr="005F0AE0">
        <w:rPr>
          <w:rFonts w:asciiTheme="minorHAnsi" w:hAnsiTheme="minorHAnsi" w:cstheme="minorHAnsi"/>
          <w:iCs/>
          <w:sz w:val="21"/>
          <w:szCs w:val="21"/>
        </w:rPr>
        <w:t>,</w:t>
      </w:r>
      <w:r w:rsidR="00A750D6" w:rsidRPr="005F0AE0">
        <w:rPr>
          <w:rFonts w:asciiTheme="minorHAnsi" w:hAnsiTheme="minorHAnsi" w:cstheme="minorHAnsi"/>
          <w:iCs/>
          <w:sz w:val="21"/>
          <w:szCs w:val="21"/>
        </w:rPr>
        <w:t xml:space="preserve"> our </w:t>
      </w:r>
      <w:r w:rsidR="004A059C" w:rsidRPr="005F0AE0">
        <w:rPr>
          <w:rFonts w:asciiTheme="minorHAnsi" w:hAnsiTheme="minorHAnsi" w:cstheme="minorHAnsi"/>
          <w:iCs/>
          <w:sz w:val="21"/>
          <w:szCs w:val="21"/>
        </w:rPr>
        <w:t>customer</w:t>
      </w:r>
      <w:r w:rsidR="00A750D6" w:rsidRPr="005F0AE0">
        <w:rPr>
          <w:rFonts w:asciiTheme="minorHAnsi" w:hAnsiTheme="minorHAnsi" w:cstheme="minorHAnsi"/>
          <w:iCs/>
          <w:sz w:val="21"/>
          <w:szCs w:val="21"/>
        </w:rPr>
        <w:t>s and third parties. W</w:t>
      </w:r>
      <w:r w:rsidR="00A750D6" w:rsidRPr="005F0AE0">
        <w:rPr>
          <w:rFonts w:asciiTheme="minorHAnsi" w:hAnsiTheme="minorHAnsi" w:cstheme="minorHAnsi"/>
          <w:sz w:val="21"/>
          <w:szCs w:val="21"/>
        </w:rPr>
        <w:t xml:space="preserve">e offer a broad range of investment services and products and we receive various forms of compensation from our </w:t>
      </w:r>
      <w:r w:rsidR="004A059C" w:rsidRPr="005F0AE0">
        <w:rPr>
          <w:rFonts w:asciiTheme="minorHAnsi" w:hAnsiTheme="minorHAnsi" w:cstheme="minorHAnsi"/>
          <w:sz w:val="21"/>
          <w:szCs w:val="21"/>
        </w:rPr>
        <w:t>customer</w:t>
      </w:r>
      <w:r w:rsidR="00A750D6" w:rsidRPr="005F0AE0">
        <w:rPr>
          <w:rFonts w:asciiTheme="minorHAnsi" w:hAnsiTheme="minorHAnsi" w:cstheme="minorHAnsi"/>
          <w:sz w:val="21"/>
          <w:szCs w:val="21"/>
        </w:rPr>
        <w:t xml:space="preserve">s, non-affiliated product providers and third parties as described above. Securities rules allow for us to earn compensation when we provide brokerage services to you. </w:t>
      </w:r>
      <w:r w:rsidR="004A059C" w:rsidRPr="005F0AE0">
        <w:rPr>
          <w:rFonts w:asciiTheme="minorHAnsi" w:hAnsiTheme="minorHAnsi" w:cstheme="minorHAnsi"/>
          <w:sz w:val="21"/>
          <w:szCs w:val="21"/>
        </w:rPr>
        <w:t>The</w:t>
      </w:r>
      <w:r w:rsidR="00A750D6" w:rsidRPr="005F0AE0">
        <w:rPr>
          <w:rFonts w:asciiTheme="minorHAnsi" w:hAnsiTheme="minorHAnsi" w:cstheme="minorHAnsi"/>
          <w:sz w:val="21"/>
          <w:szCs w:val="21"/>
        </w:rPr>
        <w:t xml:space="preserve"> compensation that we and our </w:t>
      </w:r>
      <w:r w:rsidR="00EE0452" w:rsidRPr="005F0AE0">
        <w:rPr>
          <w:rFonts w:asciiTheme="minorHAnsi" w:hAnsiTheme="minorHAnsi" w:cstheme="minorHAnsi"/>
          <w:sz w:val="21"/>
          <w:szCs w:val="21"/>
        </w:rPr>
        <w:t>Financial Professional</w:t>
      </w:r>
      <w:r w:rsidR="00A750D6" w:rsidRPr="005F0AE0">
        <w:rPr>
          <w:rFonts w:asciiTheme="minorHAnsi" w:hAnsiTheme="minorHAnsi" w:cstheme="minorHAnsi"/>
          <w:sz w:val="21"/>
          <w:szCs w:val="21"/>
        </w:rPr>
        <w:t>s receive from you varies based upon the product or service you purchase, which creates a financial incentive to recommend investment products and services that generate greater compensation to us.</w:t>
      </w:r>
    </w:p>
    <w:p w14:paraId="56AED8F1" w14:textId="1E6A8464" w:rsidR="00951831" w:rsidRDefault="00A750D6" w:rsidP="006B6FAD">
      <w:pPr>
        <w:pStyle w:val="BodyText"/>
        <w:kinsoku w:val="0"/>
        <w:overflowPunct w:val="0"/>
        <w:spacing w:before="56"/>
        <w:ind w:left="144" w:right="283"/>
        <w:jc w:val="both"/>
        <w:rPr>
          <w:rFonts w:asciiTheme="minorHAnsi" w:eastAsiaTheme="minorHAnsi" w:hAnsiTheme="minorHAnsi" w:cstheme="minorHAnsi"/>
          <w:color w:val="000000"/>
          <w:sz w:val="21"/>
          <w:szCs w:val="21"/>
        </w:rPr>
      </w:pPr>
      <w:r w:rsidRPr="005F0AE0">
        <w:rPr>
          <w:rFonts w:asciiTheme="minorHAnsi" w:hAnsiTheme="minorHAnsi" w:cstheme="minorHAnsi"/>
          <w:iCs/>
          <w:sz w:val="21"/>
          <w:szCs w:val="21"/>
        </w:rPr>
        <w:br/>
        <w:t xml:space="preserve">We are committed to taking appropriate steps to identify, </w:t>
      </w:r>
      <w:r w:rsidR="00D4484B" w:rsidRPr="005F0AE0">
        <w:rPr>
          <w:rFonts w:asciiTheme="minorHAnsi" w:hAnsiTheme="minorHAnsi" w:cstheme="minorHAnsi"/>
          <w:iCs/>
          <w:sz w:val="21"/>
          <w:szCs w:val="21"/>
        </w:rPr>
        <w:t xml:space="preserve">mitigate and </w:t>
      </w:r>
      <w:r w:rsidRPr="005F0AE0">
        <w:rPr>
          <w:rFonts w:asciiTheme="minorHAnsi" w:hAnsiTheme="minorHAnsi" w:cstheme="minorHAnsi"/>
          <w:iCs/>
          <w:sz w:val="21"/>
          <w:szCs w:val="21"/>
        </w:rPr>
        <w:t xml:space="preserve">avoid conflicts of interest to </w:t>
      </w:r>
      <w:r w:rsidR="006B6FAD">
        <w:rPr>
          <w:rFonts w:asciiTheme="minorHAnsi" w:hAnsiTheme="minorHAnsi" w:cstheme="minorHAnsi"/>
          <w:iCs/>
          <w:sz w:val="21"/>
          <w:szCs w:val="21"/>
        </w:rPr>
        <w:t>e</w:t>
      </w:r>
      <w:r w:rsidRPr="005F0AE0">
        <w:rPr>
          <w:rFonts w:asciiTheme="minorHAnsi" w:hAnsiTheme="minorHAnsi" w:cstheme="minorHAnsi"/>
          <w:iCs/>
          <w:sz w:val="21"/>
          <w:szCs w:val="21"/>
        </w:rPr>
        <w:t xml:space="preserve">nsure we act in your best interest when providing brokerage recommendations to you. </w:t>
      </w:r>
      <w:r w:rsidR="00A614D6" w:rsidRPr="005F0AE0">
        <w:rPr>
          <w:rFonts w:asciiTheme="minorHAnsi" w:eastAsiaTheme="minorHAnsi" w:hAnsiTheme="minorHAnsi" w:cstheme="minorHAnsi"/>
          <w:color w:val="000000"/>
          <w:sz w:val="21"/>
          <w:szCs w:val="21"/>
        </w:rPr>
        <w:t>B</w:t>
      </w:r>
      <w:r w:rsidR="00951831" w:rsidRPr="005F0AE0">
        <w:rPr>
          <w:rFonts w:asciiTheme="minorHAnsi" w:eastAsiaTheme="minorHAnsi" w:hAnsiTheme="minorHAnsi" w:cstheme="minorHAnsi"/>
          <w:color w:val="000000"/>
          <w:sz w:val="21"/>
          <w:szCs w:val="21"/>
        </w:rPr>
        <w:t xml:space="preserve">elow you </w:t>
      </w:r>
      <w:r w:rsidRPr="005F0AE0">
        <w:rPr>
          <w:rFonts w:asciiTheme="minorHAnsi" w:eastAsiaTheme="minorHAnsi" w:hAnsiTheme="minorHAnsi" w:cstheme="minorHAnsi"/>
          <w:color w:val="000000"/>
          <w:sz w:val="21"/>
          <w:szCs w:val="21"/>
        </w:rPr>
        <w:t xml:space="preserve">will </w:t>
      </w:r>
      <w:r w:rsidR="00951831" w:rsidRPr="005F0AE0">
        <w:rPr>
          <w:rFonts w:asciiTheme="minorHAnsi" w:eastAsiaTheme="minorHAnsi" w:hAnsiTheme="minorHAnsi" w:cstheme="minorHAnsi"/>
          <w:color w:val="000000"/>
          <w:sz w:val="21"/>
          <w:szCs w:val="21"/>
        </w:rPr>
        <w:t>find additional information related to our conflicts of interest. This information is not intended to be an all-inclusive list of our conflicts, but generally describes those conflicts that are material to your brokerage relationship.</w:t>
      </w:r>
      <w:r w:rsidRPr="005F0AE0">
        <w:rPr>
          <w:rFonts w:asciiTheme="minorHAnsi" w:eastAsiaTheme="minorHAnsi" w:hAnsiTheme="minorHAnsi" w:cstheme="minorHAnsi"/>
          <w:color w:val="000000"/>
          <w:sz w:val="21"/>
          <w:szCs w:val="21"/>
        </w:rPr>
        <w:t xml:space="preserve"> In addition to this disclosure,</w:t>
      </w:r>
      <w:r w:rsidR="00951831" w:rsidRPr="005F0AE0">
        <w:rPr>
          <w:rFonts w:asciiTheme="minorHAnsi" w:eastAsiaTheme="minorHAnsi" w:hAnsiTheme="minorHAnsi" w:cstheme="minorHAnsi"/>
          <w:color w:val="000000"/>
          <w:sz w:val="21"/>
          <w:szCs w:val="21"/>
        </w:rPr>
        <w:t xml:space="preserve"> conflicts of interest are disclosed to you in </w:t>
      </w:r>
      <w:r w:rsidR="008F1149" w:rsidRPr="005F0AE0">
        <w:rPr>
          <w:rFonts w:asciiTheme="minorHAnsi" w:eastAsiaTheme="minorHAnsi" w:hAnsiTheme="minorHAnsi" w:cstheme="minorHAnsi"/>
          <w:color w:val="000000"/>
          <w:sz w:val="21"/>
          <w:szCs w:val="21"/>
        </w:rPr>
        <w:t>our Form CRS</w:t>
      </w:r>
      <w:r w:rsidR="00951831" w:rsidRPr="005F0AE0">
        <w:rPr>
          <w:rFonts w:asciiTheme="minorHAnsi" w:eastAsiaTheme="minorHAnsi" w:hAnsiTheme="minorHAnsi" w:cstheme="minorHAnsi"/>
          <w:color w:val="000000"/>
          <w:sz w:val="21"/>
          <w:szCs w:val="21"/>
        </w:rPr>
        <w:t xml:space="preserve"> and disclosure documents, our product guides and other information we make available to you.</w:t>
      </w:r>
    </w:p>
    <w:p w14:paraId="545FEA00" w14:textId="77777777" w:rsidR="00C727CE" w:rsidRDefault="00C727CE" w:rsidP="006B6FAD">
      <w:pPr>
        <w:pStyle w:val="BodyText"/>
        <w:kinsoku w:val="0"/>
        <w:overflowPunct w:val="0"/>
        <w:spacing w:before="56"/>
        <w:ind w:left="144" w:right="283"/>
        <w:jc w:val="both"/>
        <w:rPr>
          <w:rFonts w:asciiTheme="minorHAnsi" w:eastAsiaTheme="minorHAnsi" w:hAnsiTheme="minorHAnsi" w:cstheme="minorHAnsi"/>
          <w:color w:val="000000"/>
          <w:sz w:val="21"/>
          <w:szCs w:val="21"/>
        </w:rPr>
      </w:pPr>
    </w:p>
    <w:p w14:paraId="7EA0F47D" w14:textId="77777777" w:rsidR="00C727CE" w:rsidRPr="005F0AE0" w:rsidRDefault="00C727CE" w:rsidP="006B6FAD">
      <w:pPr>
        <w:pStyle w:val="BodyText"/>
        <w:kinsoku w:val="0"/>
        <w:overflowPunct w:val="0"/>
        <w:spacing w:before="56"/>
        <w:ind w:left="144" w:right="283"/>
        <w:jc w:val="both"/>
        <w:rPr>
          <w:rFonts w:asciiTheme="minorHAnsi" w:eastAsiaTheme="minorHAnsi" w:hAnsiTheme="minorHAnsi" w:cstheme="minorHAnsi"/>
          <w:color w:val="000000"/>
          <w:sz w:val="21"/>
          <w:szCs w:val="21"/>
        </w:rPr>
      </w:pPr>
    </w:p>
    <w:p w14:paraId="0CC58246" w14:textId="77777777" w:rsidR="001067C7" w:rsidRPr="005F0AE0" w:rsidRDefault="001067C7" w:rsidP="00412143">
      <w:pPr>
        <w:widowControl/>
        <w:adjustRightInd w:val="0"/>
        <w:ind w:left="144"/>
        <w:rPr>
          <w:rFonts w:asciiTheme="minorHAnsi" w:eastAsiaTheme="minorHAnsi" w:hAnsiTheme="minorHAnsi" w:cstheme="minorHAnsi"/>
          <w:color w:val="000000"/>
          <w:sz w:val="21"/>
          <w:szCs w:val="21"/>
        </w:rPr>
      </w:pPr>
    </w:p>
    <w:p w14:paraId="48E4BCAD" w14:textId="58913157" w:rsidR="00773017" w:rsidRDefault="00773017" w:rsidP="00412143">
      <w:pPr>
        <w:pStyle w:val="BodyText"/>
        <w:kinsoku w:val="0"/>
        <w:overflowPunct w:val="0"/>
        <w:ind w:left="144" w:right="181"/>
        <w:rPr>
          <w:rFonts w:asciiTheme="minorHAnsi" w:hAnsiTheme="minorHAnsi" w:cstheme="minorHAnsi"/>
          <w:b/>
          <w:sz w:val="21"/>
          <w:szCs w:val="21"/>
        </w:rPr>
      </w:pPr>
      <w:r w:rsidRPr="005F0AE0">
        <w:rPr>
          <w:rFonts w:asciiTheme="minorHAnsi" w:hAnsiTheme="minorHAnsi" w:cstheme="minorHAnsi"/>
          <w:b/>
          <w:sz w:val="21"/>
          <w:szCs w:val="21"/>
        </w:rPr>
        <w:t xml:space="preserve">Compensation We Receive </w:t>
      </w:r>
      <w:r w:rsidR="002A41EA" w:rsidRPr="005F0AE0">
        <w:rPr>
          <w:rFonts w:asciiTheme="minorHAnsi" w:hAnsiTheme="minorHAnsi" w:cstheme="minorHAnsi"/>
          <w:b/>
          <w:sz w:val="21"/>
          <w:szCs w:val="21"/>
        </w:rPr>
        <w:t>from</w:t>
      </w:r>
      <w:r w:rsidRPr="005F0AE0">
        <w:rPr>
          <w:rFonts w:asciiTheme="minorHAnsi" w:hAnsiTheme="minorHAnsi" w:cstheme="minorHAnsi"/>
          <w:b/>
          <w:sz w:val="21"/>
          <w:szCs w:val="21"/>
        </w:rPr>
        <w:t xml:space="preserve"> Customers</w:t>
      </w:r>
    </w:p>
    <w:p w14:paraId="02BD75A5" w14:textId="77777777" w:rsidR="00004BE7" w:rsidRPr="005F0AE0" w:rsidRDefault="00004BE7" w:rsidP="00412143">
      <w:pPr>
        <w:pStyle w:val="BodyText"/>
        <w:kinsoku w:val="0"/>
        <w:overflowPunct w:val="0"/>
        <w:ind w:left="144" w:right="181"/>
        <w:rPr>
          <w:rFonts w:asciiTheme="minorHAnsi" w:hAnsiTheme="minorHAnsi" w:cstheme="minorHAnsi"/>
          <w:b/>
          <w:sz w:val="21"/>
          <w:szCs w:val="21"/>
        </w:rPr>
      </w:pPr>
    </w:p>
    <w:p w14:paraId="02297C54" w14:textId="0F54F26B" w:rsidR="00A614D6" w:rsidRPr="005F0AE0" w:rsidRDefault="00A614D6" w:rsidP="00412143">
      <w:pPr>
        <w:pStyle w:val="BodyText"/>
        <w:kinsoku w:val="0"/>
        <w:overflowPunct w:val="0"/>
        <w:ind w:left="144" w:right="181"/>
        <w:rPr>
          <w:rFonts w:asciiTheme="minorHAnsi" w:hAnsiTheme="minorHAnsi" w:cstheme="minorHAnsi"/>
          <w:b/>
          <w:sz w:val="21"/>
          <w:szCs w:val="21"/>
        </w:rPr>
      </w:pPr>
      <w:r w:rsidRPr="005F0AE0">
        <w:rPr>
          <w:rFonts w:asciiTheme="minorHAnsi" w:hAnsiTheme="minorHAnsi" w:cstheme="minorHAnsi"/>
          <w:b/>
          <w:sz w:val="21"/>
          <w:szCs w:val="21"/>
        </w:rPr>
        <w:t>Transaction-based conflicts</w:t>
      </w:r>
    </w:p>
    <w:p w14:paraId="0C936102" w14:textId="53F758D3" w:rsidR="00A614D6" w:rsidRPr="005F0AE0" w:rsidRDefault="00A614D6" w:rsidP="00412143">
      <w:pPr>
        <w:pStyle w:val="BodyText"/>
        <w:kinsoku w:val="0"/>
        <w:overflowPunct w:val="0"/>
        <w:ind w:left="144" w:right="181"/>
        <w:jc w:val="both"/>
        <w:rPr>
          <w:rFonts w:asciiTheme="minorHAnsi" w:hAnsiTheme="minorHAnsi" w:cstheme="minorHAnsi"/>
          <w:sz w:val="21"/>
          <w:szCs w:val="21"/>
        </w:rPr>
      </w:pPr>
      <w:r w:rsidRPr="005F0AE0">
        <w:rPr>
          <w:rFonts w:asciiTheme="minorHAnsi" w:hAnsiTheme="minorHAnsi" w:cstheme="minorHAnsi"/>
          <w:sz w:val="21"/>
          <w:szCs w:val="21"/>
        </w:rPr>
        <w:t xml:space="preserve">In your brokerage account you pay certain fees (commissions and sales charges) in connection with </w:t>
      </w:r>
      <w:r w:rsidR="00F468FD" w:rsidRPr="005F0AE0">
        <w:rPr>
          <w:rFonts w:asciiTheme="minorHAnsi" w:hAnsiTheme="minorHAnsi" w:cstheme="minorHAnsi"/>
          <w:sz w:val="21"/>
          <w:szCs w:val="21"/>
        </w:rPr>
        <w:t xml:space="preserve">the </w:t>
      </w:r>
      <w:r w:rsidRPr="005F0AE0">
        <w:rPr>
          <w:rFonts w:asciiTheme="minorHAnsi" w:hAnsiTheme="minorHAnsi" w:cstheme="minorHAnsi"/>
          <w:sz w:val="21"/>
          <w:szCs w:val="21"/>
        </w:rPr>
        <w:t xml:space="preserve">buying and selling of each investment product, including mutual funds, variable annuities, alternative investments, exchange traded funds, equity securities, and bonds. Where these fees apply, the more transactions you enter into, the more compensation that we and your </w:t>
      </w:r>
      <w:r w:rsidR="00EE0452" w:rsidRPr="005F0AE0">
        <w:rPr>
          <w:rFonts w:asciiTheme="minorHAnsi" w:hAnsiTheme="minorHAnsi" w:cstheme="minorHAnsi"/>
          <w:sz w:val="21"/>
          <w:szCs w:val="21"/>
        </w:rPr>
        <w:t>Financial Professional</w:t>
      </w:r>
      <w:r w:rsidRPr="005F0AE0">
        <w:rPr>
          <w:rFonts w:asciiTheme="minorHAnsi" w:hAnsiTheme="minorHAnsi" w:cstheme="minorHAnsi"/>
          <w:sz w:val="21"/>
          <w:szCs w:val="21"/>
        </w:rPr>
        <w:t xml:space="preserve"> receive. This compensation creates an incentive for us to recommend that you buy and sell, rather than hold, these investments. We also have an incentive to recommend that you purchase investment products that carry higher fees, instead of products that carry lower fees or no fees at all</w:t>
      </w:r>
      <w:r w:rsidR="00CA3DF2" w:rsidRPr="005F0AE0">
        <w:rPr>
          <w:rFonts w:asciiTheme="minorHAnsi" w:hAnsiTheme="minorHAnsi" w:cstheme="minorHAnsi"/>
          <w:sz w:val="21"/>
          <w:szCs w:val="21"/>
        </w:rPr>
        <w:t>;</w:t>
      </w:r>
      <w:r w:rsidR="007B4BD0" w:rsidRPr="005F0AE0">
        <w:rPr>
          <w:rFonts w:asciiTheme="minorHAnsi" w:hAnsiTheme="minorHAnsi" w:cstheme="minorHAnsi"/>
          <w:sz w:val="21"/>
          <w:szCs w:val="21"/>
        </w:rPr>
        <w:t xml:space="preserve"> however</w:t>
      </w:r>
      <w:r w:rsidR="00CA3DF2" w:rsidRPr="005F0AE0">
        <w:rPr>
          <w:rFonts w:asciiTheme="minorHAnsi" w:hAnsiTheme="minorHAnsi" w:cstheme="minorHAnsi"/>
          <w:sz w:val="21"/>
          <w:szCs w:val="21"/>
        </w:rPr>
        <w:t>,</w:t>
      </w:r>
      <w:r w:rsidR="007B4BD0" w:rsidRPr="005F0AE0">
        <w:rPr>
          <w:rFonts w:asciiTheme="minorHAnsi" w:hAnsiTheme="minorHAnsi" w:cstheme="minorHAnsi"/>
          <w:sz w:val="21"/>
          <w:szCs w:val="21"/>
        </w:rPr>
        <w:t xml:space="preserve"> we maintain a robust supervisory and compliance suitability and trade review process to prevent representative misconduct.</w:t>
      </w:r>
    </w:p>
    <w:p w14:paraId="0CFD4FF1" w14:textId="77777777" w:rsidR="00A614D6" w:rsidRPr="005F0AE0" w:rsidRDefault="00A614D6" w:rsidP="00412143">
      <w:pPr>
        <w:pStyle w:val="Default0"/>
        <w:ind w:left="144"/>
        <w:rPr>
          <w:rFonts w:asciiTheme="minorHAnsi" w:eastAsia="Arial" w:hAnsiTheme="minorHAnsi" w:cstheme="minorHAnsi"/>
          <w:bCs/>
          <w:color w:val="auto"/>
          <w:sz w:val="21"/>
          <w:szCs w:val="21"/>
        </w:rPr>
      </w:pPr>
    </w:p>
    <w:p w14:paraId="6CF07C39" w14:textId="6B89A99E" w:rsidR="00A614D6" w:rsidRPr="005F0AE0" w:rsidRDefault="00A614D6" w:rsidP="00412143">
      <w:pPr>
        <w:widowControl/>
        <w:adjustRightInd w:val="0"/>
        <w:ind w:left="144"/>
        <w:rPr>
          <w:rFonts w:asciiTheme="minorHAnsi" w:eastAsiaTheme="minorHAnsi" w:hAnsiTheme="minorHAnsi" w:cstheme="minorHAnsi"/>
          <w:b/>
          <w:bCs/>
          <w:color w:val="000000"/>
          <w:sz w:val="21"/>
          <w:szCs w:val="21"/>
        </w:rPr>
      </w:pPr>
      <w:r w:rsidRPr="005F0AE0">
        <w:rPr>
          <w:rFonts w:asciiTheme="minorHAnsi" w:eastAsiaTheme="minorHAnsi" w:hAnsiTheme="minorHAnsi" w:cstheme="minorHAnsi"/>
          <w:b/>
          <w:bCs/>
          <w:color w:val="000000"/>
          <w:sz w:val="21"/>
          <w:szCs w:val="21"/>
        </w:rPr>
        <w:t xml:space="preserve">Markups and markdowns for </w:t>
      </w:r>
      <w:r w:rsidR="006523B3" w:rsidRPr="005F0AE0">
        <w:rPr>
          <w:rFonts w:asciiTheme="minorHAnsi" w:eastAsiaTheme="minorHAnsi" w:hAnsiTheme="minorHAnsi" w:cstheme="minorHAnsi"/>
          <w:b/>
          <w:bCs/>
          <w:color w:val="000000"/>
          <w:sz w:val="21"/>
          <w:szCs w:val="21"/>
        </w:rPr>
        <w:t>security</w:t>
      </w:r>
      <w:r w:rsidRPr="005F0AE0">
        <w:rPr>
          <w:rFonts w:asciiTheme="minorHAnsi" w:eastAsiaTheme="minorHAnsi" w:hAnsiTheme="minorHAnsi" w:cstheme="minorHAnsi"/>
          <w:b/>
          <w:bCs/>
          <w:color w:val="000000"/>
          <w:sz w:val="21"/>
          <w:szCs w:val="21"/>
        </w:rPr>
        <w:t xml:space="preserve"> transactions</w:t>
      </w:r>
    </w:p>
    <w:p w14:paraId="60DA83AE" w14:textId="1AB45241" w:rsidR="00A614D6" w:rsidRPr="005F0AE0" w:rsidRDefault="00A614D6" w:rsidP="00412143">
      <w:pPr>
        <w:widowControl/>
        <w:adjustRightInd w:val="0"/>
        <w:ind w:left="144"/>
        <w:jc w:val="both"/>
        <w:rPr>
          <w:rFonts w:asciiTheme="minorHAnsi" w:eastAsiaTheme="minorHAnsi" w:hAnsiTheme="minorHAnsi" w:cstheme="minorHAnsi"/>
          <w:color w:val="000000"/>
          <w:sz w:val="21"/>
          <w:szCs w:val="21"/>
        </w:rPr>
      </w:pPr>
      <w:r w:rsidRPr="005F0AE0">
        <w:rPr>
          <w:rFonts w:asciiTheme="minorHAnsi" w:eastAsiaTheme="minorHAnsi" w:hAnsiTheme="minorHAnsi" w:cstheme="minorHAnsi"/>
          <w:color w:val="000000"/>
          <w:sz w:val="21"/>
          <w:szCs w:val="21"/>
        </w:rPr>
        <w:t xml:space="preserve">When you buy or sell </w:t>
      </w:r>
      <w:r w:rsidR="007148C7" w:rsidRPr="005F0AE0">
        <w:rPr>
          <w:rFonts w:asciiTheme="minorHAnsi" w:eastAsiaTheme="minorHAnsi" w:hAnsiTheme="minorHAnsi" w:cstheme="minorHAnsi"/>
          <w:color w:val="000000"/>
          <w:sz w:val="21"/>
          <w:szCs w:val="21"/>
        </w:rPr>
        <w:t>fixed income securities</w:t>
      </w:r>
      <w:r w:rsidRPr="005F0AE0">
        <w:rPr>
          <w:rFonts w:asciiTheme="minorHAnsi" w:eastAsiaTheme="minorHAnsi" w:hAnsiTheme="minorHAnsi" w:cstheme="minorHAnsi"/>
          <w:color w:val="000000"/>
          <w:sz w:val="21"/>
          <w:szCs w:val="21"/>
        </w:rPr>
        <w:t xml:space="preserve"> in a brokerage account, and in accordance with industry regulations, we </w:t>
      </w:r>
      <w:r w:rsidR="00577F80" w:rsidRPr="005F0AE0">
        <w:rPr>
          <w:rFonts w:asciiTheme="minorHAnsi" w:eastAsiaTheme="minorHAnsi" w:hAnsiTheme="minorHAnsi" w:cstheme="minorHAnsi"/>
          <w:color w:val="000000"/>
          <w:sz w:val="21"/>
          <w:szCs w:val="21"/>
        </w:rPr>
        <w:t>typically</w:t>
      </w:r>
      <w:r w:rsidRPr="005F0AE0">
        <w:rPr>
          <w:rFonts w:asciiTheme="minorHAnsi" w:eastAsiaTheme="minorHAnsi" w:hAnsiTheme="minorHAnsi" w:cstheme="minorHAnsi"/>
          <w:color w:val="000000"/>
          <w:sz w:val="21"/>
          <w:szCs w:val="21"/>
        </w:rPr>
        <w:t xml:space="preserve"> impose a markup (increase) or markdown (decrease) in the price of transactions we execute on a principal</w:t>
      </w:r>
      <w:r w:rsidR="00CA3DF2" w:rsidRPr="005F0AE0">
        <w:rPr>
          <w:rFonts w:asciiTheme="minorHAnsi" w:eastAsiaTheme="minorHAnsi" w:hAnsiTheme="minorHAnsi" w:cstheme="minorHAnsi"/>
          <w:color w:val="000000"/>
          <w:sz w:val="21"/>
          <w:szCs w:val="21"/>
        </w:rPr>
        <w:t xml:space="preserve"> or agent</w:t>
      </w:r>
      <w:r w:rsidRPr="005F0AE0">
        <w:rPr>
          <w:rFonts w:asciiTheme="minorHAnsi" w:eastAsiaTheme="minorHAnsi" w:hAnsiTheme="minorHAnsi" w:cstheme="minorHAnsi"/>
          <w:color w:val="000000"/>
          <w:sz w:val="21"/>
          <w:szCs w:val="21"/>
        </w:rPr>
        <w:t xml:space="preserve"> basis</w:t>
      </w:r>
      <w:r w:rsidR="00F468FD" w:rsidRPr="005F0AE0">
        <w:rPr>
          <w:rFonts w:asciiTheme="minorHAnsi" w:eastAsiaTheme="minorHAnsi" w:hAnsiTheme="minorHAnsi" w:cstheme="minorHAnsi"/>
          <w:color w:val="000000"/>
          <w:sz w:val="21"/>
          <w:szCs w:val="21"/>
        </w:rPr>
        <w:t>. W</w:t>
      </w:r>
      <w:r w:rsidRPr="005F0AE0">
        <w:rPr>
          <w:rFonts w:asciiTheme="minorHAnsi" w:eastAsiaTheme="minorHAnsi" w:hAnsiTheme="minorHAnsi" w:cstheme="minorHAnsi"/>
          <w:color w:val="000000"/>
          <w:sz w:val="21"/>
          <w:szCs w:val="21"/>
        </w:rPr>
        <w:t xml:space="preserve">e are compensated based upon the difference (markup) between the price you pay for securities purchased from us and the price we sell such securities to you over the prevailing market price, or the difference (markdown) between the price you sell securities to us and the price we purchase such securities from you over the prevailing market price. We maintain policies and procedures reasonably designed to help ensure compliance with the markup and markdown industry rules. </w:t>
      </w:r>
    </w:p>
    <w:p w14:paraId="39FA8F97" w14:textId="77777777" w:rsidR="00A614D6" w:rsidRPr="005F0AE0" w:rsidRDefault="00A614D6" w:rsidP="00412143">
      <w:pPr>
        <w:pStyle w:val="BodyText"/>
        <w:kinsoku w:val="0"/>
        <w:overflowPunct w:val="0"/>
        <w:ind w:left="144" w:right="181"/>
        <w:rPr>
          <w:rFonts w:asciiTheme="minorHAnsi" w:hAnsiTheme="minorHAnsi" w:cstheme="minorHAnsi"/>
          <w:b/>
          <w:sz w:val="21"/>
          <w:szCs w:val="21"/>
        </w:rPr>
      </w:pPr>
    </w:p>
    <w:p w14:paraId="5C63647A" w14:textId="77777777" w:rsidR="00CA3465" w:rsidRPr="005F0AE0" w:rsidRDefault="00AB4D79" w:rsidP="00412143">
      <w:pPr>
        <w:widowControl/>
        <w:adjustRightInd w:val="0"/>
        <w:ind w:left="144"/>
        <w:rPr>
          <w:rFonts w:asciiTheme="minorHAnsi" w:eastAsiaTheme="minorHAnsi" w:hAnsiTheme="minorHAnsi" w:cstheme="minorHAnsi"/>
          <w:b/>
          <w:bCs/>
          <w:iCs/>
          <w:color w:val="000000"/>
          <w:sz w:val="21"/>
          <w:szCs w:val="21"/>
        </w:rPr>
      </w:pPr>
      <w:r w:rsidRPr="005F0AE0">
        <w:rPr>
          <w:rFonts w:asciiTheme="minorHAnsi" w:eastAsiaTheme="minorHAnsi" w:hAnsiTheme="minorHAnsi" w:cstheme="minorHAnsi"/>
          <w:b/>
          <w:bCs/>
          <w:iCs/>
          <w:color w:val="000000"/>
          <w:sz w:val="21"/>
          <w:szCs w:val="21"/>
        </w:rPr>
        <w:t xml:space="preserve">Account </w:t>
      </w:r>
      <w:r w:rsidR="00A614D6" w:rsidRPr="005F0AE0">
        <w:rPr>
          <w:rFonts w:asciiTheme="minorHAnsi" w:eastAsiaTheme="minorHAnsi" w:hAnsiTheme="minorHAnsi" w:cstheme="minorHAnsi"/>
          <w:b/>
          <w:bCs/>
          <w:iCs/>
          <w:color w:val="000000"/>
          <w:sz w:val="21"/>
          <w:szCs w:val="21"/>
        </w:rPr>
        <w:t>m</w:t>
      </w:r>
      <w:r w:rsidRPr="005F0AE0">
        <w:rPr>
          <w:rFonts w:asciiTheme="minorHAnsi" w:eastAsiaTheme="minorHAnsi" w:hAnsiTheme="minorHAnsi" w:cstheme="minorHAnsi"/>
          <w:b/>
          <w:bCs/>
          <w:iCs/>
          <w:color w:val="000000"/>
          <w:sz w:val="21"/>
          <w:szCs w:val="21"/>
        </w:rPr>
        <w:t xml:space="preserve">aintenance and </w:t>
      </w:r>
      <w:r w:rsidR="00A614D6" w:rsidRPr="005F0AE0">
        <w:rPr>
          <w:rFonts w:asciiTheme="minorHAnsi" w:eastAsiaTheme="minorHAnsi" w:hAnsiTheme="minorHAnsi" w:cstheme="minorHAnsi"/>
          <w:b/>
          <w:bCs/>
          <w:iCs/>
          <w:color w:val="000000"/>
          <w:sz w:val="21"/>
          <w:szCs w:val="21"/>
        </w:rPr>
        <w:t>o</w:t>
      </w:r>
      <w:r w:rsidRPr="005F0AE0">
        <w:rPr>
          <w:rFonts w:asciiTheme="minorHAnsi" w:eastAsiaTheme="minorHAnsi" w:hAnsiTheme="minorHAnsi" w:cstheme="minorHAnsi"/>
          <w:b/>
          <w:bCs/>
          <w:iCs/>
          <w:color w:val="000000"/>
          <w:sz w:val="21"/>
          <w:szCs w:val="21"/>
        </w:rPr>
        <w:t xml:space="preserve">ther </w:t>
      </w:r>
      <w:r w:rsidR="00A614D6" w:rsidRPr="005F0AE0">
        <w:rPr>
          <w:rFonts w:asciiTheme="minorHAnsi" w:eastAsiaTheme="minorHAnsi" w:hAnsiTheme="minorHAnsi" w:cstheme="minorHAnsi"/>
          <w:b/>
          <w:bCs/>
          <w:iCs/>
          <w:color w:val="000000"/>
          <w:sz w:val="21"/>
          <w:szCs w:val="21"/>
        </w:rPr>
        <w:t>a</w:t>
      </w:r>
      <w:r w:rsidRPr="005F0AE0">
        <w:rPr>
          <w:rFonts w:asciiTheme="minorHAnsi" w:eastAsiaTheme="minorHAnsi" w:hAnsiTheme="minorHAnsi" w:cstheme="minorHAnsi"/>
          <w:b/>
          <w:bCs/>
          <w:iCs/>
          <w:color w:val="000000"/>
          <w:sz w:val="21"/>
          <w:szCs w:val="21"/>
        </w:rPr>
        <w:t xml:space="preserve">dministrative </w:t>
      </w:r>
      <w:r w:rsidR="00A614D6" w:rsidRPr="005F0AE0">
        <w:rPr>
          <w:rFonts w:asciiTheme="minorHAnsi" w:eastAsiaTheme="minorHAnsi" w:hAnsiTheme="minorHAnsi" w:cstheme="minorHAnsi"/>
          <w:b/>
          <w:bCs/>
          <w:iCs/>
          <w:color w:val="000000"/>
          <w:sz w:val="21"/>
          <w:szCs w:val="21"/>
        </w:rPr>
        <w:t>f</w:t>
      </w:r>
      <w:r w:rsidRPr="005F0AE0">
        <w:rPr>
          <w:rFonts w:asciiTheme="minorHAnsi" w:eastAsiaTheme="minorHAnsi" w:hAnsiTheme="minorHAnsi" w:cstheme="minorHAnsi"/>
          <w:b/>
          <w:bCs/>
          <w:iCs/>
          <w:color w:val="000000"/>
          <w:sz w:val="21"/>
          <w:szCs w:val="21"/>
        </w:rPr>
        <w:t>ees</w:t>
      </w:r>
    </w:p>
    <w:p w14:paraId="7DDCE748" w14:textId="37C4EDF3" w:rsidR="00AB4D79" w:rsidRPr="005F0AE0" w:rsidRDefault="00AB4D79" w:rsidP="00412143">
      <w:pPr>
        <w:widowControl/>
        <w:adjustRightInd w:val="0"/>
        <w:ind w:left="144"/>
        <w:jc w:val="both"/>
        <w:rPr>
          <w:rFonts w:asciiTheme="minorHAnsi" w:eastAsiaTheme="minorHAnsi" w:hAnsiTheme="minorHAnsi" w:cstheme="minorHAnsi"/>
          <w:color w:val="000000"/>
          <w:sz w:val="21"/>
          <w:szCs w:val="21"/>
        </w:rPr>
      </w:pPr>
      <w:r w:rsidRPr="005F0AE0">
        <w:rPr>
          <w:rFonts w:asciiTheme="minorHAnsi" w:eastAsiaTheme="minorHAnsi" w:hAnsiTheme="minorHAnsi" w:cstheme="minorHAnsi"/>
          <w:color w:val="000000"/>
          <w:sz w:val="21"/>
          <w:szCs w:val="21"/>
        </w:rPr>
        <w:t xml:space="preserve">For the services </w:t>
      </w:r>
      <w:r w:rsidR="0034766C" w:rsidRPr="005F0AE0">
        <w:rPr>
          <w:rFonts w:asciiTheme="minorHAnsi" w:eastAsiaTheme="minorHAnsi" w:hAnsiTheme="minorHAnsi" w:cstheme="minorHAnsi"/>
          <w:color w:val="000000"/>
          <w:sz w:val="21"/>
          <w:szCs w:val="21"/>
        </w:rPr>
        <w:t xml:space="preserve">provided or made available to you with respect </w:t>
      </w:r>
      <w:r w:rsidRPr="005F0AE0">
        <w:rPr>
          <w:rFonts w:asciiTheme="minorHAnsi" w:eastAsiaTheme="minorHAnsi" w:hAnsiTheme="minorHAnsi" w:cstheme="minorHAnsi"/>
          <w:color w:val="000000"/>
          <w:sz w:val="21"/>
          <w:szCs w:val="21"/>
        </w:rPr>
        <w:t xml:space="preserve">to your brokerage account, </w:t>
      </w:r>
      <w:r w:rsidR="00577F80" w:rsidRPr="005F0AE0">
        <w:rPr>
          <w:rFonts w:asciiTheme="minorHAnsi" w:eastAsiaTheme="minorHAnsi" w:hAnsiTheme="minorHAnsi" w:cstheme="minorHAnsi"/>
          <w:color w:val="000000"/>
          <w:sz w:val="21"/>
          <w:szCs w:val="21"/>
        </w:rPr>
        <w:t>the clearing firm charges</w:t>
      </w:r>
      <w:r w:rsidRPr="005F0AE0">
        <w:rPr>
          <w:rFonts w:asciiTheme="minorHAnsi" w:eastAsiaTheme="minorHAnsi" w:hAnsiTheme="minorHAnsi" w:cstheme="minorHAnsi"/>
          <w:color w:val="000000"/>
          <w:sz w:val="21"/>
          <w:szCs w:val="21"/>
        </w:rPr>
        <w:t xml:space="preserve"> certain account maintenance and other administrative fees, including transfer, wire, or other miscellaneous fees, as described in the fee schedule provided to you on an annual basis. </w:t>
      </w:r>
      <w:r w:rsidR="00577F80" w:rsidRPr="005F0AE0">
        <w:rPr>
          <w:rFonts w:asciiTheme="minorHAnsi" w:eastAsiaTheme="minorHAnsi" w:hAnsiTheme="minorHAnsi" w:cstheme="minorHAnsi"/>
          <w:color w:val="000000"/>
          <w:sz w:val="21"/>
          <w:szCs w:val="21"/>
        </w:rPr>
        <w:t xml:space="preserve">We </w:t>
      </w:r>
      <w:r w:rsidR="0034766C" w:rsidRPr="005F0AE0">
        <w:rPr>
          <w:rFonts w:asciiTheme="minorHAnsi" w:eastAsiaTheme="minorHAnsi" w:hAnsiTheme="minorHAnsi" w:cstheme="minorHAnsi"/>
          <w:color w:val="000000"/>
          <w:sz w:val="21"/>
          <w:szCs w:val="21"/>
        </w:rPr>
        <w:t xml:space="preserve">may </w:t>
      </w:r>
      <w:r w:rsidR="00577F80" w:rsidRPr="005F0AE0">
        <w:rPr>
          <w:rFonts w:asciiTheme="minorHAnsi" w:eastAsiaTheme="minorHAnsi" w:hAnsiTheme="minorHAnsi" w:cstheme="minorHAnsi"/>
          <w:color w:val="000000"/>
          <w:sz w:val="21"/>
          <w:szCs w:val="21"/>
        </w:rPr>
        <w:t>receive a po</w:t>
      </w:r>
      <w:r w:rsidR="007148C7" w:rsidRPr="005F0AE0">
        <w:rPr>
          <w:rFonts w:asciiTheme="minorHAnsi" w:eastAsiaTheme="minorHAnsi" w:hAnsiTheme="minorHAnsi" w:cstheme="minorHAnsi"/>
          <w:color w:val="000000"/>
          <w:sz w:val="21"/>
          <w:szCs w:val="21"/>
        </w:rPr>
        <w:t>r</w:t>
      </w:r>
      <w:r w:rsidR="00577F80" w:rsidRPr="005F0AE0">
        <w:rPr>
          <w:rFonts w:asciiTheme="minorHAnsi" w:eastAsiaTheme="minorHAnsi" w:hAnsiTheme="minorHAnsi" w:cstheme="minorHAnsi"/>
          <w:color w:val="000000"/>
          <w:sz w:val="21"/>
          <w:szCs w:val="21"/>
        </w:rPr>
        <w:t xml:space="preserve">tion of these fees as negotiated with the clearing agent. </w:t>
      </w:r>
      <w:r w:rsidR="0034766C" w:rsidRPr="005F0AE0">
        <w:rPr>
          <w:rFonts w:asciiTheme="minorHAnsi" w:eastAsiaTheme="minorHAnsi" w:hAnsiTheme="minorHAnsi" w:cstheme="minorHAnsi"/>
          <w:color w:val="000000"/>
          <w:sz w:val="21"/>
          <w:szCs w:val="21"/>
        </w:rPr>
        <w:t>These fees are described in the fee schedule provided to you with your account opening documents.</w:t>
      </w:r>
      <w:r w:rsidRPr="005F0AE0">
        <w:rPr>
          <w:rFonts w:asciiTheme="minorHAnsi" w:eastAsiaTheme="minorHAnsi" w:hAnsiTheme="minorHAnsi" w:cstheme="minorHAnsi"/>
          <w:color w:val="000000"/>
          <w:sz w:val="21"/>
          <w:szCs w:val="21"/>
        </w:rPr>
        <w:t xml:space="preserve"> </w:t>
      </w:r>
    </w:p>
    <w:p w14:paraId="1EA1C060" w14:textId="77777777" w:rsidR="00F468FD" w:rsidRPr="005F0AE0" w:rsidRDefault="00F468FD" w:rsidP="00AB4D79">
      <w:pPr>
        <w:widowControl/>
        <w:adjustRightInd w:val="0"/>
        <w:rPr>
          <w:rFonts w:asciiTheme="minorHAnsi" w:eastAsiaTheme="minorHAnsi" w:hAnsiTheme="minorHAnsi" w:cstheme="minorHAnsi"/>
          <w:color w:val="000000"/>
          <w:sz w:val="21"/>
          <w:szCs w:val="21"/>
        </w:rPr>
      </w:pPr>
    </w:p>
    <w:p w14:paraId="513887FC" w14:textId="69961079" w:rsidR="00AB4D79" w:rsidRPr="005F0AE0" w:rsidRDefault="00773017" w:rsidP="00412143">
      <w:pPr>
        <w:pStyle w:val="Default0"/>
        <w:ind w:left="144"/>
        <w:rPr>
          <w:rFonts w:asciiTheme="minorHAnsi" w:hAnsiTheme="minorHAnsi" w:cstheme="minorHAnsi"/>
          <w:b/>
          <w:bCs/>
          <w:sz w:val="21"/>
          <w:szCs w:val="21"/>
        </w:rPr>
      </w:pPr>
      <w:r w:rsidRPr="005F0AE0">
        <w:rPr>
          <w:rFonts w:asciiTheme="minorHAnsi" w:hAnsiTheme="minorHAnsi" w:cstheme="minorHAnsi"/>
          <w:b/>
          <w:bCs/>
          <w:sz w:val="21"/>
          <w:szCs w:val="21"/>
        </w:rPr>
        <w:t>Compensation We Receive from Third Parties</w:t>
      </w:r>
    </w:p>
    <w:p w14:paraId="537B5AC0" w14:textId="77777777" w:rsidR="00AB4D79" w:rsidRPr="005F0AE0" w:rsidRDefault="00AB4D79" w:rsidP="00412143">
      <w:pPr>
        <w:widowControl/>
        <w:adjustRightInd w:val="0"/>
        <w:ind w:left="144"/>
        <w:jc w:val="both"/>
        <w:rPr>
          <w:rFonts w:asciiTheme="minorHAnsi" w:eastAsiaTheme="minorHAnsi" w:hAnsiTheme="minorHAnsi" w:cstheme="minorHAnsi"/>
          <w:color w:val="000000"/>
          <w:sz w:val="21"/>
          <w:szCs w:val="21"/>
        </w:rPr>
      </w:pPr>
      <w:r w:rsidRPr="005F0AE0">
        <w:rPr>
          <w:rFonts w:asciiTheme="minorHAnsi" w:eastAsiaTheme="minorHAnsi" w:hAnsiTheme="minorHAnsi" w:cstheme="minorHAnsi"/>
          <w:color w:val="000000"/>
          <w:sz w:val="21"/>
          <w:szCs w:val="21"/>
        </w:rPr>
        <w:t xml:space="preserve">Third-party payments </w:t>
      </w:r>
      <w:r w:rsidR="00F468FD" w:rsidRPr="005F0AE0">
        <w:rPr>
          <w:rFonts w:asciiTheme="minorHAnsi" w:eastAsiaTheme="minorHAnsi" w:hAnsiTheme="minorHAnsi" w:cstheme="minorHAnsi"/>
          <w:color w:val="000000"/>
          <w:sz w:val="21"/>
          <w:szCs w:val="21"/>
        </w:rPr>
        <w:t xml:space="preserve">we receive </w:t>
      </w:r>
      <w:r w:rsidR="0042771A" w:rsidRPr="005F0AE0">
        <w:rPr>
          <w:rFonts w:asciiTheme="minorHAnsi" w:eastAsiaTheme="minorHAnsi" w:hAnsiTheme="minorHAnsi" w:cstheme="minorHAnsi"/>
          <w:color w:val="000000"/>
          <w:sz w:val="21"/>
          <w:szCs w:val="21"/>
        </w:rPr>
        <w:t>are</w:t>
      </w:r>
      <w:r w:rsidRPr="005F0AE0">
        <w:rPr>
          <w:rFonts w:asciiTheme="minorHAnsi" w:eastAsiaTheme="minorHAnsi" w:hAnsiTheme="minorHAnsi" w:cstheme="minorHAnsi"/>
          <w:color w:val="000000"/>
          <w:sz w:val="21"/>
          <w:szCs w:val="21"/>
        </w:rPr>
        <w:t xml:space="preserve"> based on new sales of investment products, creating an incentive for us to recommend you buy and sell, rather than hold, investments. In other cases, these payments are made on an ongoing basis as a percentage of invested assets, creating an incentive for us to recommend that you buy and hold investments (or continue to invest through a third-party manager or adviser). </w:t>
      </w:r>
    </w:p>
    <w:p w14:paraId="3E55496C" w14:textId="77777777" w:rsidR="00AB4D79" w:rsidRPr="005F0AE0" w:rsidRDefault="00AB4D79" w:rsidP="00412143">
      <w:pPr>
        <w:widowControl/>
        <w:adjustRightInd w:val="0"/>
        <w:ind w:left="144"/>
        <w:rPr>
          <w:rFonts w:asciiTheme="minorHAnsi" w:eastAsiaTheme="minorHAnsi" w:hAnsiTheme="minorHAnsi" w:cstheme="minorHAnsi"/>
          <w:color w:val="000000"/>
          <w:sz w:val="21"/>
          <w:szCs w:val="21"/>
        </w:rPr>
      </w:pPr>
    </w:p>
    <w:p w14:paraId="68EE8D9F" w14:textId="2D3AFDBF" w:rsidR="00AB4D79" w:rsidRPr="005F0AE0" w:rsidRDefault="00AB4D79" w:rsidP="00412143">
      <w:pPr>
        <w:widowControl/>
        <w:adjustRightInd w:val="0"/>
        <w:ind w:left="144"/>
        <w:jc w:val="both"/>
        <w:rPr>
          <w:rFonts w:asciiTheme="minorHAnsi" w:eastAsiaTheme="minorHAnsi" w:hAnsiTheme="minorHAnsi" w:cstheme="minorHAnsi"/>
          <w:color w:val="000000"/>
          <w:sz w:val="21"/>
          <w:szCs w:val="21"/>
        </w:rPr>
      </w:pPr>
      <w:r w:rsidRPr="005F0AE0">
        <w:rPr>
          <w:rFonts w:asciiTheme="minorHAnsi" w:eastAsiaTheme="minorHAnsi" w:hAnsiTheme="minorHAnsi" w:cstheme="minorHAnsi"/>
          <w:color w:val="000000"/>
          <w:sz w:val="21"/>
          <w:szCs w:val="21"/>
        </w:rPr>
        <w:t xml:space="preserve">The total amount of payments we receive varies from product to </w:t>
      </w:r>
      <w:r w:rsidR="0034766C" w:rsidRPr="005F0AE0">
        <w:rPr>
          <w:rFonts w:asciiTheme="minorHAnsi" w:eastAsiaTheme="minorHAnsi" w:hAnsiTheme="minorHAnsi" w:cstheme="minorHAnsi"/>
          <w:color w:val="000000"/>
          <w:sz w:val="21"/>
          <w:szCs w:val="21"/>
        </w:rPr>
        <w:t>product and</w:t>
      </w:r>
      <w:r w:rsidRPr="005F0AE0">
        <w:rPr>
          <w:rFonts w:asciiTheme="minorHAnsi" w:eastAsiaTheme="minorHAnsi" w:hAnsiTheme="minorHAnsi" w:cstheme="minorHAnsi"/>
          <w:color w:val="000000"/>
          <w:sz w:val="21"/>
          <w:szCs w:val="21"/>
        </w:rPr>
        <w:t xml:space="preserve"> varies with respect to the third-party investment management product</w:t>
      </w:r>
      <w:r w:rsidR="00D4484B" w:rsidRPr="005F0AE0">
        <w:rPr>
          <w:rFonts w:asciiTheme="minorHAnsi" w:eastAsiaTheme="minorHAnsi" w:hAnsiTheme="minorHAnsi" w:cstheme="minorHAnsi"/>
          <w:color w:val="000000"/>
          <w:sz w:val="21"/>
          <w:szCs w:val="21"/>
        </w:rPr>
        <w:t>s</w:t>
      </w:r>
      <w:r w:rsidRPr="005F0AE0">
        <w:rPr>
          <w:rFonts w:asciiTheme="minorHAnsi" w:eastAsiaTheme="minorHAnsi" w:hAnsiTheme="minorHAnsi" w:cstheme="minorHAnsi"/>
          <w:color w:val="000000"/>
          <w:sz w:val="21"/>
          <w:szCs w:val="21"/>
        </w:rPr>
        <w:t xml:space="preserve"> we recommend. It also </w:t>
      </w:r>
      <w:r w:rsidR="0042771A" w:rsidRPr="005F0AE0">
        <w:rPr>
          <w:rFonts w:asciiTheme="minorHAnsi" w:eastAsiaTheme="minorHAnsi" w:hAnsiTheme="minorHAnsi" w:cstheme="minorHAnsi"/>
          <w:color w:val="000000"/>
          <w:sz w:val="21"/>
          <w:szCs w:val="21"/>
        </w:rPr>
        <w:t>is separate from and in addition to the</w:t>
      </w:r>
      <w:r w:rsidRPr="005F0AE0">
        <w:rPr>
          <w:rFonts w:asciiTheme="minorHAnsi" w:eastAsiaTheme="minorHAnsi" w:hAnsiTheme="minorHAnsi" w:cstheme="minorHAnsi"/>
          <w:color w:val="000000"/>
          <w:sz w:val="21"/>
          <w:szCs w:val="21"/>
        </w:rPr>
        <w:t xml:space="preserve"> compensation we receive in connection with other products and services </w:t>
      </w:r>
      <w:r w:rsidR="0042771A" w:rsidRPr="005F0AE0">
        <w:rPr>
          <w:rFonts w:asciiTheme="minorHAnsi" w:eastAsiaTheme="minorHAnsi" w:hAnsiTheme="minorHAnsi" w:cstheme="minorHAnsi"/>
          <w:color w:val="000000"/>
          <w:sz w:val="21"/>
          <w:szCs w:val="21"/>
        </w:rPr>
        <w:t xml:space="preserve">made </w:t>
      </w:r>
      <w:r w:rsidRPr="005F0AE0">
        <w:rPr>
          <w:rFonts w:asciiTheme="minorHAnsi" w:eastAsiaTheme="minorHAnsi" w:hAnsiTheme="minorHAnsi" w:cstheme="minorHAnsi"/>
          <w:color w:val="000000"/>
          <w:sz w:val="21"/>
          <w:szCs w:val="21"/>
        </w:rPr>
        <w:t>available to you, including advisory services</w:t>
      </w:r>
      <w:r w:rsidR="0034766C" w:rsidRPr="005F0AE0">
        <w:rPr>
          <w:rFonts w:asciiTheme="minorHAnsi" w:eastAsiaTheme="minorHAnsi" w:hAnsiTheme="minorHAnsi" w:cstheme="minorHAnsi"/>
          <w:color w:val="000000"/>
          <w:sz w:val="21"/>
          <w:szCs w:val="21"/>
        </w:rPr>
        <w:t xml:space="preserve"> through our a</w:t>
      </w:r>
      <w:r w:rsidR="0042771A" w:rsidRPr="005F0AE0">
        <w:rPr>
          <w:rFonts w:asciiTheme="minorHAnsi" w:eastAsiaTheme="minorHAnsi" w:hAnsiTheme="minorHAnsi" w:cstheme="minorHAnsi"/>
          <w:color w:val="000000"/>
          <w:sz w:val="21"/>
          <w:szCs w:val="21"/>
        </w:rPr>
        <w:t>dvis</w:t>
      </w:r>
      <w:r w:rsidR="0034766C" w:rsidRPr="005F0AE0">
        <w:rPr>
          <w:rFonts w:asciiTheme="minorHAnsi" w:eastAsiaTheme="minorHAnsi" w:hAnsiTheme="minorHAnsi" w:cstheme="minorHAnsi"/>
          <w:color w:val="000000"/>
          <w:sz w:val="21"/>
          <w:szCs w:val="21"/>
        </w:rPr>
        <w:t>e</w:t>
      </w:r>
      <w:r w:rsidR="0042771A" w:rsidRPr="005F0AE0">
        <w:rPr>
          <w:rFonts w:asciiTheme="minorHAnsi" w:eastAsiaTheme="minorHAnsi" w:hAnsiTheme="minorHAnsi" w:cstheme="minorHAnsi"/>
          <w:color w:val="000000"/>
          <w:sz w:val="21"/>
          <w:szCs w:val="21"/>
        </w:rPr>
        <w:t>r firm</w:t>
      </w:r>
      <w:r w:rsidRPr="005F0AE0">
        <w:rPr>
          <w:rFonts w:asciiTheme="minorHAnsi" w:eastAsiaTheme="minorHAnsi" w:hAnsiTheme="minorHAnsi" w:cstheme="minorHAnsi"/>
          <w:color w:val="000000"/>
          <w:sz w:val="21"/>
          <w:szCs w:val="21"/>
        </w:rPr>
        <w:t xml:space="preserve">. We have an incentive to recommend investment products and services that generate greater payments to us. This compensation generally represents an expense embedded in the investment products and services that is borne by investors, even where it is not paid by the Product Sponsor and not directly from the investment product or other fees you pay. The types of third-party compensation we receive include: </w:t>
      </w:r>
    </w:p>
    <w:p w14:paraId="22BC015A" w14:textId="77777777" w:rsidR="00AB4D79" w:rsidRPr="005F0AE0" w:rsidRDefault="00AB4D79" w:rsidP="00AB4D79">
      <w:pPr>
        <w:widowControl/>
        <w:adjustRightInd w:val="0"/>
        <w:rPr>
          <w:rFonts w:asciiTheme="minorHAnsi" w:eastAsiaTheme="minorHAnsi" w:hAnsiTheme="minorHAnsi" w:cstheme="minorHAnsi"/>
          <w:color w:val="000000"/>
          <w:sz w:val="21"/>
          <w:szCs w:val="21"/>
        </w:rPr>
      </w:pPr>
    </w:p>
    <w:p w14:paraId="53CB5F38" w14:textId="4ACF07B6" w:rsidR="00AC7ABF" w:rsidRPr="005F0AE0" w:rsidRDefault="00AB4D79" w:rsidP="00AC7ABF">
      <w:pPr>
        <w:pStyle w:val="ListParagraph"/>
        <w:widowControl/>
        <w:numPr>
          <w:ilvl w:val="0"/>
          <w:numId w:val="28"/>
        </w:numPr>
        <w:adjustRightInd w:val="0"/>
        <w:rPr>
          <w:rFonts w:asciiTheme="minorHAnsi" w:eastAsiaTheme="minorHAnsi" w:hAnsiTheme="minorHAnsi" w:cstheme="minorHAnsi"/>
          <w:sz w:val="21"/>
          <w:szCs w:val="21"/>
        </w:rPr>
      </w:pPr>
      <w:r w:rsidRPr="005F0AE0">
        <w:rPr>
          <w:rFonts w:asciiTheme="minorHAnsi" w:eastAsiaTheme="minorHAnsi" w:hAnsiTheme="minorHAnsi" w:cstheme="minorHAnsi"/>
          <w:b/>
          <w:bCs/>
          <w:color w:val="000000"/>
          <w:sz w:val="21"/>
          <w:szCs w:val="21"/>
        </w:rPr>
        <w:t xml:space="preserve">Revenue Sharing. </w:t>
      </w:r>
    </w:p>
    <w:p w14:paraId="3C10D185" w14:textId="3754C0D7" w:rsidR="00AC7ABF" w:rsidRPr="005F0AE0" w:rsidRDefault="00AC7ABF" w:rsidP="00AC7ABF">
      <w:pPr>
        <w:pStyle w:val="BodyText"/>
        <w:ind w:left="720"/>
        <w:jc w:val="both"/>
        <w:rPr>
          <w:rFonts w:asciiTheme="minorHAnsi" w:hAnsiTheme="minorHAnsi" w:cstheme="minorHAnsi"/>
          <w:sz w:val="21"/>
          <w:szCs w:val="21"/>
        </w:rPr>
      </w:pPr>
      <w:r w:rsidRPr="005F0AE0">
        <w:rPr>
          <w:rFonts w:asciiTheme="minorHAnsi" w:hAnsiTheme="minorHAnsi" w:cstheme="minorHAnsi"/>
          <w:sz w:val="21"/>
          <w:szCs w:val="21"/>
        </w:rPr>
        <w:t xml:space="preserve">Customers may also incur brokerage and/or other transaction costs from our custodian.  These costs </w:t>
      </w:r>
      <w:r w:rsidRPr="005F0AE0">
        <w:rPr>
          <w:rFonts w:asciiTheme="minorHAnsi" w:hAnsiTheme="minorHAnsi" w:cstheme="minorHAnsi"/>
          <w:sz w:val="21"/>
          <w:szCs w:val="21"/>
        </w:rPr>
        <w:lastRenderedPageBreak/>
        <w:t xml:space="preserve">include but are not limited to handling fees, wire transaction fees, and check writing expenses.  For more information regarding the costs that are charged to a customer from </w:t>
      </w:r>
      <w:r w:rsidR="00B76E7E">
        <w:rPr>
          <w:rFonts w:asciiTheme="minorHAnsi" w:hAnsiTheme="minorHAnsi" w:cstheme="minorHAnsi"/>
          <w:sz w:val="21"/>
          <w:szCs w:val="21"/>
        </w:rPr>
        <w:t>T</w:t>
      </w:r>
      <w:r w:rsidR="0028253E">
        <w:rPr>
          <w:rFonts w:asciiTheme="minorHAnsi" w:hAnsiTheme="minorHAnsi" w:cstheme="minorHAnsi"/>
          <w:sz w:val="21"/>
          <w:szCs w:val="21"/>
        </w:rPr>
        <w:t>igress</w:t>
      </w:r>
      <w:r w:rsidRPr="005F0AE0">
        <w:rPr>
          <w:rFonts w:asciiTheme="minorHAnsi" w:hAnsiTheme="minorHAnsi" w:cstheme="minorHAnsi"/>
          <w:sz w:val="21"/>
          <w:szCs w:val="21"/>
        </w:rPr>
        <w:t xml:space="preserve">’ 3rd-Party Custodian (Pershing), please refer to the new account opening disclosure documents sent to the customer directly from </w:t>
      </w:r>
      <w:r w:rsidR="00B76E7E">
        <w:rPr>
          <w:rFonts w:asciiTheme="minorHAnsi" w:hAnsiTheme="minorHAnsi" w:cstheme="minorHAnsi"/>
          <w:sz w:val="21"/>
          <w:szCs w:val="21"/>
        </w:rPr>
        <w:t>T</w:t>
      </w:r>
      <w:r w:rsidR="0028253E">
        <w:rPr>
          <w:rFonts w:asciiTheme="minorHAnsi" w:hAnsiTheme="minorHAnsi" w:cstheme="minorHAnsi"/>
          <w:sz w:val="21"/>
          <w:szCs w:val="21"/>
        </w:rPr>
        <w:t>igress</w:t>
      </w:r>
      <w:r w:rsidRPr="005F0AE0">
        <w:rPr>
          <w:rFonts w:asciiTheme="minorHAnsi" w:hAnsiTheme="minorHAnsi" w:cstheme="minorHAnsi"/>
          <w:sz w:val="21"/>
          <w:szCs w:val="21"/>
        </w:rPr>
        <w:t xml:space="preserve">’ 3rd-Party Custodian (Pershing).  </w:t>
      </w:r>
    </w:p>
    <w:p w14:paraId="6C429D8D" w14:textId="77777777" w:rsidR="00AC7ABF" w:rsidRPr="005F0AE0" w:rsidRDefault="00AC7ABF" w:rsidP="00AC7ABF">
      <w:pPr>
        <w:pStyle w:val="BodyText"/>
        <w:jc w:val="both"/>
        <w:rPr>
          <w:rFonts w:asciiTheme="minorHAnsi" w:hAnsiTheme="minorHAnsi" w:cstheme="minorHAnsi"/>
          <w:sz w:val="21"/>
          <w:szCs w:val="21"/>
        </w:rPr>
      </w:pPr>
    </w:p>
    <w:p w14:paraId="52A319F1" w14:textId="2F7EF8D5" w:rsidR="00AC7ABF" w:rsidRPr="005F0AE0" w:rsidRDefault="00B76E7E" w:rsidP="00AC7ABF">
      <w:pPr>
        <w:pStyle w:val="BodyText"/>
        <w:ind w:left="720"/>
        <w:jc w:val="both"/>
        <w:rPr>
          <w:rFonts w:asciiTheme="minorHAnsi" w:hAnsiTheme="minorHAnsi" w:cstheme="minorHAnsi"/>
          <w:sz w:val="21"/>
          <w:szCs w:val="21"/>
        </w:rPr>
      </w:pPr>
      <w:r>
        <w:rPr>
          <w:rFonts w:asciiTheme="minorHAnsi" w:hAnsiTheme="minorHAnsi" w:cstheme="minorHAnsi"/>
          <w:sz w:val="21"/>
          <w:szCs w:val="21"/>
        </w:rPr>
        <w:t>T</w:t>
      </w:r>
      <w:r w:rsidR="0028253E">
        <w:rPr>
          <w:rFonts w:asciiTheme="minorHAnsi" w:hAnsiTheme="minorHAnsi" w:cstheme="minorHAnsi"/>
          <w:sz w:val="21"/>
          <w:szCs w:val="21"/>
        </w:rPr>
        <w:t>igress</w:t>
      </w:r>
      <w:r w:rsidR="00AC7ABF" w:rsidRPr="005F0AE0">
        <w:rPr>
          <w:rFonts w:asciiTheme="minorHAnsi" w:hAnsiTheme="minorHAnsi" w:cstheme="minorHAnsi"/>
          <w:sz w:val="21"/>
          <w:szCs w:val="21"/>
        </w:rPr>
        <w:t xml:space="preserve"> has a revenue sharing agreement on file with </w:t>
      </w:r>
      <w:r>
        <w:rPr>
          <w:rFonts w:asciiTheme="minorHAnsi" w:hAnsiTheme="minorHAnsi" w:cstheme="minorHAnsi"/>
          <w:sz w:val="21"/>
          <w:szCs w:val="21"/>
        </w:rPr>
        <w:t>T</w:t>
      </w:r>
      <w:r w:rsidR="0028253E">
        <w:rPr>
          <w:rFonts w:asciiTheme="minorHAnsi" w:hAnsiTheme="minorHAnsi" w:cstheme="minorHAnsi"/>
          <w:sz w:val="21"/>
          <w:szCs w:val="21"/>
        </w:rPr>
        <w:t>igress</w:t>
      </w:r>
      <w:r w:rsidR="00AC7ABF" w:rsidRPr="005F0AE0">
        <w:rPr>
          <w:rFonts w:asciiTheme="minorHAnsi" w:hAnsiTheme="minorHAnsi" w:cstheme="minorHAnsi"/>
          <w:sz w:val="21"/>
          <w:szCs w:val="21"/>
        </w:rPr>
        <w:t xml:space="preserve">’ 3rd-Party Custodian (Pershing), our custodian, regarding fees collected from margin interest, </w:t>
      </w:r>
      <w:r>
        <w:rPr>
          <w:rFonts w:asciiTheme="minorHAnsi" w:hAnsiTheme="minorHAnsi" w:cstheme="minorHAnsi"/>
          <w:sz w:val="21"/>
          <w:szCs w:val="21"/>
        </w:rPr>
        <w:t>T</w:t>
      </w:r>
      <w:r w:rsidR="0028253E">
        <w:rPr>
          <w:rFonts w:asciiTheme="minorHAnsi" w:hAnsiTheme="minorHAnsi" w:cstheme="minorHAnsi"/>
          <w:sz w:val="21"/>
          <w:szCs w:val="21"/>
        </w:rPr>
        <w:t>igress</w:t>
      </w:r>
      <w:r w:rsidR="00AC7ABF" w:rsidRPr="005F0AE0">
        <w:rPr>
          <w:rFonts w:asciiTheme="minorHAnsi" w:hAnsiTheme="minorHAnsi" w:cstheme="minorHAnsi"/>
          <w:sz w:val="21"/>
          <w:szCs w:val="21"/>
        </w:rPr>
        <w:t>’ 3rd-Party Custodian</w:t>
      </w:r>
      <w:r w:rsidR="00CA3DF2" w:rsidRPr="005F0AE0">
        <w:rPr>
          <w:rFonts w:asciiTheme="minorHAnsi" w:hAnsiTheme="minorHAnsi" w:cstheme="minorHAnsi"/>
          <w:sz w:val="21"/>
          <w:szCs w:val="21"/>
        </w:rPr>
        <w:t>’s (</w:t>
      </w:r>
      <w:r w:rsidR="00AC7ABF" w:rsidRPr="005F0AE0">
        <w:rPr>
          <w:rFonts w:asciiTheme="minorHAnsi" w:hAnsiTheme="minorHAnsi" w:cstheme="minorHAnsi"/>
          <w:sz w:val="21"/>
          <w:szCs w:val="21"/>
        </w:rPr>
        <w:t>Pershin</w:t>
      </w:r>
      <w:r w:rsidR="00CA3DF2" w:rsidRPr="005F0AE0">
        <w:rPr>
          <w:rFonts w:asciiTheme="minorHAnsi" w:hAnsiTheme="minorHAnsi" w:cstheme="minorHAnsi"/>
          <w:sz w:val="21"/>
          <w:szCs w:val="21"/>
        </w:rPr>
        <w:t>g),</w:t>
      </w:r>
      <w:r w:rsidR="00AC7ABF" w:rsidRPr="005F0AE0">
        <w:rPr>
          <w:rFonts w:asciiTheme="minorHAnsi" w:hAnsiTheme="minorHAnsi" w:cstheme="minorHAnsi"/>
          <w:sz w:val="21"/>
          <w:szCs w:val="21"/>
        </w:rPr>
        <w:t xml:space="preserve"> NTF mutual fund platform, cash balances/sweep accounts, handling, and other miscellaneous fees.  This arrangement gives rise to a conflict of interest because </w:t>
      </w:r>
      <w:r>
        <w:rPr>
          <w:rFonts w:asciiTheme="minorHAnsi" w:hAnsiTheme="minorHAnsi" w:cstheme="minorHAnsi"/>
          <w:sz w:val="21"/>
          <w:szCs w:val="21"/>
        </w:rPr>
        <w:t>T</w:t>
      </w:r>
      <w:r w:rsidR="00004BE7">
        <w:rPr>
          <w:rFonts w:asciiTheme="minorHAnsi" w:hAnsiTheme="minorHAnsi" w:cstheme="minorHAnsi"/>
          <w:sz w:val="21"/>
          <w:szCs w:val="21"/>
        </w:rPr>
        <w:t>igress’</w:t>
      </w:r>
      <w:r w:rsidR="00AC7ABF" w:rsidRPr="005F0AE0">
        <w:rPr>
          <w:rFonts w:asciiTheme="minorHAnsi" w:hAnsiTheme="minorHAnsi" w:cstheme="minorHAnsi"/>
          <w:sz w:val="21"/>
          <w:szCs w:val="21"/>
        </w:rPr>
        <w:t xml:space="preserve"> has an incentive to steer customer assets to the </w:t>
      </w:r>
      <w:r>
        <w:rPr>
          <w:rFonts w:asciiTheme="minorHAnsi" w:hAnsiTheme="minorHAnsi" w:cstheme="minorHAnsi"/>
          <w:sz w:val="21"/>
          <w:szCs w:val="21"/>
        </w:rPr>
        <w:t>T</w:t>
      </w:r>
      <w:r w:rsidR="0028253E">
        <w:rPr>
          <w:rFonts w:asciiTheme="minorHAnsi" w:hAnsiTheme="minorHAnsi" w:cstheme="minorHAnsi"/>
          <w:sz w:val="21"/>
          <w:szCs w:val="21"/>
        </w:rPr>
        <w:t>igress</w:t>
      </w:r>
      <w:r w:rsidR="00AC7ABF" w:rsidRPr="005F0AE0">
        <w:rPr>
          <w:rFonts w:asciiTheme="minorHAnsi" w:hAnsiTheme="minorHAnsi" w:cstheme="minorHAnsi"/>
          <w:sz w:val="21"/>
          <w:szCs w:val="21"/>
        </w:rPr>
        <w:t xml:space="preserve">’ 3rd-Party Custodian (Pershing) money market sweep funds that generate such revenue, rather than to products or custodians that do not generate such revenue. Customers should understand that the receipt of these distribution fees will result in higher compensation to </w:t>
      </w:r>
      <w:r>
        <w:rPr>
          <w:rFonts w:asciiTheme="minorHAnsi" w:hAnsiTheme="minorHAnsi" w:cstheme="minorHAnsi"/>
          <w:sz w:val="21"/>
          <w:szCs w:val="21"/>
        </w:rPr>
        <w:t>T</w:t>
      </w:r>
      <w:r w:rsidR="00004BE7">
        <w:rPr>
          <w:rFonts w:asciiTheme="minorHAnsi" w:hAnsiTheme="minorHAnsi" w:cstheme="minorHAnsi"/>
          <w:sz w:val="21"/>
          <w:szCs w:val="21"/>
        </w:rPr>
        <w:t>igress</w:t>
      </w:r>
      <w:r w:rsidR="00AC7ABF" w:rsidRPr="005F0AE0">
        <w:rPr>
          <w:rFonts w:asciiTheme="minorHAnsi" w:hAnsiTheme="minorHAnsi" w:cstheme="minorHAnsi"/>
          <w:sz w:val="21"/>
          <w:szCs w:val="21"/>
        </w:rPr>
        <w:t xml:space="preserve"> and will cause customers investing in these money market funds to incur higher ongoing costs compared to other lower-cost cash sweep products that are made available by </w:t>
      </w:r>
      <w:r w:rsidR="00AC10B4" w:rsidRPr="005F0AE0">
        <w:rPr>
          <w:rFonts w:asciiTheme="minorHAnsi" w:hAnsiTheme="minorHAnsi" w:cstheme="minorHAnsi"/>
          <w:sz w:val="21"/>
          <w:szCs w:val="21"/>
        </w:rPr>
        <w:t>Pershing</w:t>
      </w:r>
      <w:r w:rsidR="00AC7ABF" w:rsidRPr="005F0AE0">
        <w:rPr>
          <w:rFonts w:asciiTheme="minorHAnsi" w:hAnsiTheme="minorHAnsi" w:cstheme="minorHAnsi"/>
          <w:sz w:val="21"/>
          <w:szCs w:val="21"/>
        </w:rPr>
        <w:t xml:space="preserve"> or other custodians. </w:t>
      </w:r>
    </w:p>
    <w:p w14:paraId="562705CC" w14:textId="77777777" w:rsidR="00AC7ABF" w:rsidRPr="005F0AE0" w:rsidRDefault="00AC7ABF" w:rsidP="00AC7ABF">
      <w:pPr>
        <w:pStyle w:val="BodyText"/>
        <w:jc w:val="both"/>
        <w:rPr>
          <w:rFonts w:asciiTheme="minorHAnsi" w:hAnsiTheme="minorHAnsi" w:cstheme="minorHAnsi"/>
          <w:sz w:val="21"/>
          <w:szCs w:val="21"/>
        </w:rPr>
      </w:pPr>
    </w:p>
    <w:p w14:paraId="218CA573" w14:textId="5FBB00C3" w:rsidR="00AB4D79" w:rsidRPr="005F0AE0" w:rsidRDefault="00AC7ABF" w:rsidP="00AC7ABF">
      <w:pPr>
        <w:pStyle w:val="BodyText"/>
        <w:ind w:left="720"/>
        <w:jc w:val="both"/>
        <w:rPr>
          <w:rFonts w:asciiTheme="minorHAnsi" w:hAnsiTheme="minorHAnsi" w:cstheme="minorHAnsi"/>
          <w:sz w:val="21"/>
          <w:szCs w:val="21"/>
        </w:rPr>
      </w:pPr>
      <w:r w:rsidRPr="005F0AE0">
        <w:rPr>
          <w:rFonts w:asciiTheme="minorHAnsi" w:hAnsiTheme="minorHAnsi" w:cstheme="minorHAnsi"/>
          <w:sz w:val="21"/>
          <w:szCs w:val="21"/>
        </w:rPr>
        <w:t xml:space="preserve">Notwithstanding this conflict, </w:t>
      </w:r>
      <w:r w:rsidR="00B76E7E">
        <w:rPr>
          <w:rFonts w:asciiTheme="minorHAnsi" w:hAnsiTheme="minorHAnsi" w:cstheme="minorHAnsi"/>
          <w:sz w:val="21"/>
          <w:szCs w:val="21"/>
        </w:rPr>
        <w:t>T</w:t>
      </w:r>
      <w:r w:rsidR="0028253E">
        <w:rPr>
          <w:rFonts w:asciiTheme="minorHAnsi" w:hAnsiTheme="minorHAnsi" w:cstheme="minorHAnsi"/>
          <w:sz w:val="21"/>
          <w:szCs w:val="21"/>
        </w:rPr>
        <w:t>igress</w:t>
      </w:r>
      <w:r w:rsidRPr="005F0AE0">
        <w:rPr>
          <w:rFonts w:asciiTheme="minorHAnsi" w:hAnsiTheme="minorHAnsi" w:cstheme="minorHAnsi"/>
          <w:sz w:val="21"/>
          <w:szCs w:val="21"/>
        </w:rPr>
        <w:t xml:space="preserve"> does not believe that this arrangement interferes with its provision of </w:t>
      </w:r>
      <w:r w:rsidR="00AA4C0A" w:rsidRPr="005F0AE0">
        <w:rPr>
          <w:rFonts w:asciiTheme="minorHAnsi" w:hAnsiTheme="minorHAnsi" w:cstheme="minorHAnsi"/>
          <w:sz w:val="21"/>
          <w:szCs w:val="21"/>
        </w:rPr>
        <w:t>recommendations</w:t>
      </w:r>
      <w:r w:rsidRPr="005F0AE0">
        <w:rPr>
          <w:rFonts w:asciiTheme="minorHAnsi" w:hAnsiTheme="minorHAnsi" w:cstheme="minorHAnsi"/>
          <w:sz w:val="21"/>
          <w:szCs w:val="21"/>
        </w:rPr>
        <w:t xml:space="preserve"> to customers because of its practices and controls. The Firm periodically reviews the fees it has negotiated with </w:t>
      </w:r>
      <w:r w:rsidR="00B76E7E">
        <w:rPr>
          <w:rFonts w:asciiTheme="minorHAnsi" w:hAnsiTheme="minorHAnsi" w:cstheme="minorHAnsi"/>
          <w:sz w:val="21"/>
          <w:szCs w:val="21"/>
        </w:rPr>
        <w:t>T</w:t>
      </w:r>
      <w:r w:rsidR="0028253E">
        <w:rPr>
          <w:rFonts w:asciiTheme="minorHAnsi" w:hAnsiTheme="minorHAnsi" w:cstheme="minorHAnsi"/>
          <w:sz w:val="21"/>
          <w:szCs w:val="21"/>
        </w:rPr>
        <w:t>igress</w:t>
      </w:r>
      <w:r w:rsidRPr="005F0AE0">
        <w:rPr>
          <w:rFonts w:asciiTheme="minorHAnsi" w:hAnsiTheme="minorHAnsi" w:cstheme="minorHAnsi"/>
          <w:sz w:val="21"/>
          <w:szCs w:val="21"/>
        </w:rPr>
        <w:t xml:space="preserve">’ 3rd-Party Custodian (Pershing) against the services it receives. Also, </w:t>
      </w:r>
      <w:r w:rsidR="0028253E">
        <w:rPr>
          <w:rFonts w:asciiTheme="minorHAnsi" w:hAnsiTheme="minorHAnsi" w:cstheme="minorHAnsi"/>
          <w:sz w:val="21"/>
          <w:szCs w:val="21"/>
        </w:rPr>
        <w:t>Tigress</w:t>
      </w:r>
      <w:r w:rsidRPr="005F0AE0">
        <w:rPr>
          <w:rFonts w:asciiTheme="minorHAnsi" w:hAnsiTheme="minorHAnsi" w:cstheme="minorHAnsi"/>
          <w:sz w:val="21"/>
          <w:szCs w:val="21"/>
        </w:rPr>
        <w:t xml:space="preserve"> periodically samples customer accounts to ensure investment activity, including any uninvested cash balances or allocation to cash, is consistent with their stated needs, </w:t>
      </w:r>
      <w:r w:rsidR="002A41EA" w:rsidRPr="005F0AE0">
        <w:rPr>
          <w:rFonts w:asciiTheme="minorHAnsi" w:hAnsiTheme="minorHAnsi" w:cstheme="minorHAnsi"/>
          <w:sz w:val="21"/>
          <w:szCs w:val="21"/>
        </w:rPr>
        <w:t>objectives,</w:t>
      </w:r>
      <w:r w:rsidRPr="005F0AE0">
        <w:rPr>
          <w:rFonts w:asciiTheme="minorHAnsi" w:hAnsiTheme="minorHAnsi" w:cstheme="minorHAnsi"/>
          <w:sz w:val="21"/>
          <w:szCs w:val="21"/>
        </w:rPr>
        <w:t xml:space="preserve"> and financial situation. Finally, </w:t>
      </w:r>
      <w:r w:rsidR="00B76E7E">
        <w:rPr>
          <w:rFonts w:asciiTheme="minorHAnsi" w:hAnsiTheme="minorHAnsi" w:cstheme="minorHAnsi"/>
          <w:sz w:val="21"/>
          <w:szCs w:val="21"/>
        </w:rPr>
        <w:t>T</w:t>
      </w:r>
      <w:r w:rsidR="0028253E">
        <w:rPr>
          <w:rFonts w:asciiTheme="minorHAnsi" w:hAnsiTheme="minorHAnsi" w:cstheme="minorHAnsi"/>
          <w:sz w:val="21"/>
          <w:szCs w:val="21"/>
        </w:rPr>
        <w:t>igress</w:t>
      </w:r>
      <w:r w:rsidRPr="005F0AE0">
        <w:rPr>
          <w:rFonts w:asciiTheme="minorHAnsi" w:hAnsiTheme="minorHAnsi" w:cstheme="minorHAnsi"/>
          <w:sz w:val="21"/>
          <w:szCs w:val="21"/>
        </w:rPr>
        <w:t xml:space="preserve"> does not pay representatives on revenue-sharing line items.</w:t>
      </w:r>
    </w:p>
    <w:p w14:paraId="2BB3F8C2" w14:textId="55C36F9B" w:rsidR="00AB4D79" w:rsidRDefault="00AB4D79" w:rsidP="00AB4D79">
      <w:pPr>
        <w:pStyle w:val="Default0"/>
        <w:rPr>
          <w:rFonts w:asciiTheme="minorHAnsi" w:hAnsiTheme="minorHAnsi" w:cstheme="minorHAnsi"/>
          <w:sz w:val="21"/>
          <w:szCs w:val="21"/>
        </w:rPr>
      </w:pPr>
    </w:p>
    <w:p w14:paraId="2863EE0E" w14:textId="77777777" w:rsidR="00AC7ABF" w:rsidRPr="005F0AE0" w:rsidRDefault="00AB4D79" w:rsidP="00AB4D79">
      <w:pPr>
        <w:pStyle w:val="Default0"/>
        <w:numPr>
          <w:ilvl w:val="0"/>
          <w:numId w:val="22"/>
        </w:numPr>
        <w:rPr>
          <w:rFonts w:asciiTheme="minorHAnsi" w:hAnsiTheme="minorHAnsi" w:cstheme="minorHAnsi"/>
          <w:sz w:val="21"/>
          <w:szCs w:val="21"/>
        </w:rPr>
      </w:pPr>
      <w:r w:rsidRPr="005F0AE0">
        <w:rPr>
          <w:rFonts w:asciiTheme="minorHAnsi" w:hAnsiTheme="minorHAnsi" w:cstheme="minorHAnsi"/>
          <w:b/>
          <w:bCs/>
          <w:sz w:val="21"/>
          <w:szCs w:val="21"/>
        </w:rPr>
        <w:t xml:space="preserve">Trail Compensation. </w:t>
      </w:r>
    </w:p>
    <w:p w14:paraId="325AE4FF" w14:textId="7E80FA73" w:rsidR="00AB4D79" w:rsidRPr="005F0AE0" w:rsidRDefault="00AB4D79" w:rsidP="00AC7ABF">
      <w:pPr>
        <w:pStyle w:val="Default0"/>
        <w:ind w:left="720"/>
        <w:jc w:val="both"/>
        <w:rPr>
          <w:rFonts w:asciiTheme="minorHAnsi" w:hAnsiTheme="minorHAnsi" w:cstheme="minorHAnsi"/>
          <w:sz w:val="21"/>
          <w:szCs w:val="21"/>
        </w:rPr>
      </w:pPr>
      <w:r w:rsidRPr="005F0AE0">
        <w:rPr>
          <w:rFonts w:asciiTheme="minorHAnsi" w:hAnsiTheme="minorHAnsi" w:cstheme="minorHAnsi"/>
          <w:sz w:val="21"/>
          <w:szCs w:val="21"/>
        </w:rPr>
        <w:t xml:space="preserve">Ongoing compensation from Product Sponsors </w:t>
      </w:r>
      <w:r w:rsidR="0042771A" w:rsidRPr="005F0AE0">
        <w:rPr>
          <w:rFonts w:asciiTheme="minorHAnsi" w:hAnsiTheme="minorHAnsi" w:cstheme="minorHAnsi"/>
          <w:sz w:val="21"/>
          <w:szCs w:val="21"/>
        </w:rPr>
        <w:t>is</w:t>
      </w:r>
      <w:r w:rsidRPr="005F0AE0">
        <w:rPr>
          <w:rFonts w:asciiTheme="minorHAnsi" w:hAnsiTheme="minorHAnsi" w:cstheme="minorHAnsi"/>
          <w:sz w:val="21"/>
          <w:szCs w:val="21"/>
        </w:rPr>
        <w:t xml:space="preserve"> received by us and shared with our </w:t>
      </w:r>
      <w:r w:rsidR="00EE0452" w:rsidRPr="005F0AE0">
        <w:rPr>
          <w:rFonts w:asciiTheme="minorHAnsi" w:hAnsiTheme="minorHAnsi" w:cstheme="minorHAnsi"/>
          <w:sz w:val="21"/>
          <w:szCs w:val="21"/>
        </w:rPr>
        <w:t>Financial Professional</w:t>
      </w:r>
      <w:r w:rsidRPr="005F0AE0">
        <w:rPr>
          <w:rFonts w:asciiTheme="minorHAnsi" w:hAnsiTheme="minorHAnsi" w:cstheme="minorHAnsi"/>
          <w:sz w:val="21"/>
          <w:szCs w:val="21"/>
        </w:rPr>
        <w:t>s. This compensation (commonly known as trails, service fees or Rule 12b-1 fees in the case of mutual funds) is typically paid from the assets of the investment product under a distribution or servicing arrangement and is calculated as an annual percentage of invested assets. The amount of this compensation varies from product to product. We have an incentive to recommend that you purchase and hold interests in products that pay us higher trails.</w:t>
      </w:r>
    </w:p>
    <w:p w14:paraId="3514F7F4" w14:textId="00790DF5" w:rsidR="00AC7ABF" w:rsidRPr="005F0AE0" w:rsidRDefault="00AC7ABF" w:rsidP="00AC7ABF">
      <w:pPr>
        <w:pStyle w:val="Default0"/>
        <w:jc w:val="both"/>
        <w:rPr>
          <w:rFonts w:asciiTheme="minorHAnsi" w:hAnsiTheme="minorHAnsi" w:cstheme="minorHAnsi"/>
          <w:sz w:val="21"/>
          <w:szCs w:val="21"/>
        </w:rPr>
      </w:pPr>
    </w:p>
    <w:p w14:paraId="589ABC8E" w14:textId="77777777" w:rsidR="00AC7ABF" w:rsidRPr="005F0AE0" w:rsidRDefault="00AC7ABF" w:rsidP="00AC7ABF">
      <w:pPr>
        <w:pStyle w:val="ListParagraph"/>
        <w:widowControl/>
        <w:numPr>
          <w:ilvl w:val="0"/>
          <w:numId w:val="22"/>
        </w:numPr>
        <w:adjustRightInd w:val="0"/>
        <w:rPr>
          <w:rFonts w:asciiTheme="minorHAnsi" w:eastAsiaTheme="minorHAnsi" w:hAnsiTheme="minorHAnsi" w:cstheme="minorHAnsi"/>
          <w:b/>
          <w:bCs/>
          <w:sz w:val="21"/>
          <w:szCs w:val="21"/>
        </w:rPr>
      </w:pPr>
      <w:r w:rsidRPr="005F0AE0">
        <w:rPr>
          <w:rFonts w:asciiTheme="minorHAnsi" w:eastAsiaTheme="minorHAnsi" w:hAnsiTheme="minorHAnsi" w:cstheme="minorHAnsi"/>
          <w:b/>
          <w:bCs/>
          <w:sz w:val="21"/>
          <w:szCs w:val="21"/>
        </w:rPr>
        <w:t>Product Share Classes</w:t>
      </w:r>
    </w:p>
    <w:p w14:paraId="434084F4" w14:textId="6EE001D4" w:rsidR="00AC7ABF" w:rsidRPr="005F0AE0" w:rsidRDefault="00AC7ABF" w:rsidP="00AC7ABF">
      <w:pPr>
        <w:pStyle w:val="ListParagraph"/>
        <w:widowControl/>
        <w:adjustRightInd w:val="0"/>
        <w:ind w:left="720" w:firstLine="0"/>
        <w:jc w:val="both"/>
        <w:rPr>
          <w:rFonts w:asciiTheme="minorHAnsi" w:eastAsiaTheme="minorHAnsi" w:hAnsiTheme="minorHAnsi" w:cstheme="minorHAnsi"/>
          <w:bCs/>
          <w:sz w:val="21"/>
          <w:szCs w:val="21"/>
        </w:rPr>
      </w:pPr>
      <w:r w:rsidRPr="005F0AE0">
        <w:rPr>
          <w:rFonts w:asciiTheme="minorHAnsi" w:eastAsiaTheme="minorHAnsi" w:hAnsiTheme="minorHAnsi" w:cstheme="minorHAnsi"/>
          <w:bCs/>
          <w:sz w:val="21"/>
          <w:szCs w:val="21"/>
        </w:rPr>
        <w:t>Some Product Sponsors offer multiple structures of the same product (e.g., mutual fund share classes) with each option having a unique expense structure, and some having lower costs to you as compared to others. We are incentivized to make available those share classes or other product structures that will generate the highest compensation to us.</w:t>
      </w:r>
    </w:p>
    <w:p w14:paraId="22B3193B" w14:textId="1196A110" w:rsidR="00044BB1" w:rsidRPr="005F0AE0" w:rsidRDefault="00044BB1" w:rsidP="00044BB1">
      <w:pPr>
        <w:widowControl/>
        <w:adjustRightInd w:val="0"/>
        <w:jc w:val="both"/>
        <w:rPr>
          <w:rFonts w:asciiTheme="minorHAnsi" w:eastAsiaTheme="minorHAnsi" w:hAnsiTheme="minorHAnsi" w:cstheme="minorHAnsi"/>
          <w:bCs/>
          <w:sz w:val="21"/>
          <w:szCs w:val="21"/>
        </w:rPr>
      </w:pPr>
    </w:p>
    <w:p w14:paraId="657BA46D" w14:textId="77777777" w:rsidR="00AB4D79" w:rsidRPr="005F0AE0" w:rsidRDefault="00AB4D79" w:rsidP="00AC7ABF">
      <w:pPr>
        <w:pStyle w:val="ListParagraph"/>
        <w:widowControl/>
        <w:numPr>
          <w:ilvl w:val="0"/>
          <w:numId w:val="22"/>
        </w:numPr>
        <w:adjustRightInd w:val="0"/>
        <w:rPr>
          <w:rFonts w:asciiTheme="minorHAnsi" w:eastAsiaTheme="minorHAnsi" w:hAnsiTheme="minorHAnsi" w:cstheme="minorHAnsi"/>
          <w:b/>
          <w:bCs/>
          <w:color w:val="000000"/>
          <w:sz w:val="21"/>
          <w:szCs w:val="21"/>
        </w:rPr>
      </w:pPr>
      <w:r w:rsidRPr="005F0AE0">
        <w:rPr>
          <w:rFonts w:asciiTheme="minorHAnsi" w:eastAsiaTheme="minorHAnsi" w:hAnsiTheme="minorHAnsi" w:cstheme="minorHAnsi"/>
          <w:b/>
          <w:bCs/>
          <w:color w:val="000000"/>
          <w:sz w:val="21"/>
          <w:szCs w:val="21"/>
        </w:rPr>
        <w:t>Additional Compensation from Product Sponsor</w:t>
      </w:r>
      <w:r w:rsidR="00CA3465" w:rsidRPr="005F0AE0">
        <w:rPr>
          <w:rFonts w:asciiTheme="minorHAnsi" w:eastAsiaTheme="minorHAnsi" w:hAnsiTheme="minorHAnsi" w:cstheme="minorHAnsi"/>
          <w:b/>
          <w:bCs/>
          <w:color w:val="000000"/>
          <w:sz w:val="21"/>
          <w:szCs w:val="21"/>
        </w:rPr>
        <w:t>s and Other Third Parties</w:t>
      </w:r>
      <w:r w:rsidRPr="005F0AE0">
        <w:rPr>
          <w:rFonts w:asciiTheme="minorHAnsi" w:eastAsiaTheme="minorHAnsi" w:hAnsiTheme="minorHAnsi" w:cstheme="minorHAnsi"/>
          <w:b/>
          <w:bCs/>
          <w:color w:val="000000"/>
          <w:sz w:val="21"/>
          <w:szCs w:val="21"/>
        </w:rPr>
        <w:t xml:space="preserve"> </w:t>
      </w:r>
    </w:p>
    <w:p w14:paraId="007E45F3" w14:textId="40624080" w:rsidR="00CA4A2E" w:rsidRPr="005F0AE0" w:rsidRDefault="00CA4A2E" w:rsidP="00CA4A2E">
      <w:pPr>
        <w:pStyle w:val="ListParagraph"/>
        <w:widowControl/>
        <w:adjustRightInd w:val="0"/>
        <w:ind w:left="720" w:firstLine="0"/>
        <w:jc w:val="both"/>
        <w:rPr>
          <w:rFonts w:asciiTheme="minorHAnsi" w:eastAsiaTheme="minorHAnsi" w:hAnsiTheme="minorHAnsi" w:cstheme="minorHAnsi"/>
          <w:sz w:val="21"/>
          <w:szCs w:val="21"/>
        </w:rPr>
      </w:pPr>
      <w:r w:rsidRPr="005F0AE0">
        <w:rPr>
          <w:rFonts w:asciiTheme="minorHAnsi" w:eastAsiaTheme="minorHAnsi" w:hAnsiTheme="minorHAnsi" w:cstheme="minorHAnsi"/>
          <w:color w:val="000000"/>
          <w:sz w:val="21"/>
          <w:szCs w:val="21"/>
        </w:rPr>
        <w:t xml:space="preserve">Noncash compensation is provided to Financial Professionals in the form of education meetings. Portions of these programs </w:t>
      </w:r>
      <w:r w:rsidR="00AA4C0A" w:rsidRPr="005F0AE0">
        <w:rPr>
          <w:rFonts w:asciiTheme="minorHAnsi" w:eastAsiaTheme="minorHAnsi" w:hAnsiTheme="minorHAnsi" w:cstheme="minorHAnsi"/>
          <w:color w:val="000000"/>
          <w:sz w:val="21"/>
          <w:szCs w:val="21"/>
        </w:rPr>
        <w:t>are</w:t>
      </w:r>
      <w:r w:rsidRPr="005F0AE0">
        <w:rPr>
          <w:rFonts w:asciiTheme="minorHAnsi" w:eastAsiaTheme="minorHAnsi" w:hAnsiTheme="minorHAnsi" w:cstheme="minorHAnsi"/>
          <w:color w:val="000000"/>
          <w:sz w:val="21"/>
          <w:szCs w:val="21"/>
        </w:rPr>
        <w:t xml:space="preserve"> subsidized by external vendors and affiliates, such as mutual fund companies, insurance carriers, or money managers. Consequently, product providers that sponsor and/or participate in education meetings gain opportunities to build relations with Financial Professionals, which could lead to sales of such product provider’s products. Financial Professionals also receive </w:t>
      </w:r>
      <w:r w:rsidR="00AA4C0A" w:rsidRPr="005F0AE0">
        <w:rPr>
          <w:rFonts w:asciiTheme="minorHAnsi" w:eastAsiaTheme="minorHAnsi" w:hAnsiTheme="minorHAnsi" w:cstheme="minorHAnsi"/>
          <w:color w:val="000000"/>
          <w:sz w:val="21"/>
          <w:szCs w:val="21"/>
        </w:rPr>
        <w:t xml:space="preserve">nominal </w:t>
      </w:r>
      <w:r w:rsidRPr="005F0AE0">
        <w:rPr>
          <w:rFonts w:asciiTheme="minorHAnsi" w:eastAsiaTheme="minorHAnsi" w:hAnsiTheme="minorHAnsi" w:cstheme="minorHAnsi"/>
          <w:color w:val="000000"/>
          <w:sz w:val="21"/>
          <w:szCs w:val="21"/>
        </w:rPr>
        <w:t xml:space="preserve">promotional items, meals, entertainment, and other noncash compensation from product providers up to $100 per year for gifts per vendor </w:t>
      </w:r>
      <w:r w:rsidRPr="005F0AE0">
        <w:rPr>
          <w:rFonts w:asciiTheme="minorHAnsi" w:eastAsiaTheme="minorHAnsi" w:hAnsiTheme="minorHAnsi" w:cstheme="minorHAnsi"/>
          <w:sz w:val="21"/>
          <w:szCs w:val="21"/>
        </w:rPr>
        <w:t>and $1,000 per year for meals per vendor, all of which is closely monitored by the supervisory and compliance structure within the firm.</w:t>
      </w:r>
    </w:p>
    <w:p w14:paraId="14514B1D" w14:textId="0DBB5E7F" w:rsidR="00361B08" w:rsidRPr="005F0AE0" w:rsidRDefault="00361B08" w:rsidP="00CA4A2E">
      <w:pPr>
        <w:pStyle w:val="ListParagraph"/>
        <w:widowControl/>
        <w:adjustRightInd w:val="0"/>
        <w:ind w:left="720" w:firstLine="0"/>
        <w:jc w:val="both"/>
        <w:rPr>
          <w:rFonts w:asciiTheme="minorHAnsi" w:eastAsiaTheme="minorHAnsi" w:hAnsiTheme="minorHAnsi" w:cstheme="minorHAnsi"/>
          <w:sz w:val="21"/>
          <w:szCs w:val="21"/>
        </w:rPr>
      </w:pPr>
    </w:p>
    <w:p w14:paraId="6A0434CD" w14:textId="3B75CAF0" w:rsidR="00361B08" w:rsidRPr="005F0AE0" w:rsidRDefault="00361B08" w:rsidP="00361B08">
      <w:pPr>
        <w:pStyle w:val="BodyText"/>
        <w:ind w:left="720"/>
        <w:jc w:val="both"/>
        <w:rPr>
          <w:rFonts w:asciiTheme="minorHAnsi" w:hAnsiTheme="minorHAnsi" w:cstheme="minorHAnsi"/>
          <w:sz w:val="21"/>
          <w:szCs w:val="21"/>
        </w:rPr>
      </w:pPr>
      <w:r w:rsidRPr="005F0AE0">
        <w:rPr>
          <w:rFonts w:asciiTheme="minorHAnsi" w:hAnsiTheme="minorHAnsi" w:cstheme="minorHAnsi"/>
          <w:sz w:val="21"/>
          <w:szCs w:val="21"/>
        </w:rPr>
        <w:t xml:space="preserve">These relationships do not impact the fees and expenses generally associated with customer investments; however, they do present a conflict of interest for </w:t>
      </w:r>
      <w:r w:rsidR="00B76E7E">
        <w:rPr>
          <w:rFonts w:asciiTheme="minorHAnsi" w:hAnsiTheme="minorHAnsi" w:cstheme="minorHAnsi"/>
          <w:sz w:val="21"/>
          <w:szCs w:val="21"/>
        </w:rPr>
        <w:t>T</w:t>
      </w:r>
      <w:r w:rsidR="00004BE7">
        <w:rPr>
          <w:rFonts w:asciiTheme="minorHAnsi" w:hAnsiTheme="minorHAnsi" w:cstheme="minorHAnsi"/>
          <w:sz w:val="21"/>
          <w:szCs w:val="21"/>
        </w:rPr>
        <w:t>igress</w:t>
      </w:r>
      <w:r w:rsidRPr="005F0AE0">
        <w:rPr>
          <w:rFonts w:asciiTheme="minorHAnsi" w:hAnsiTheme="minorHAnsi" w:cstheme="minorHAnsi"/>
          <w:sz w:val="21"/>
          <w:szCs w:val="21"/>
        </w:rPr>
        <w:t xml:space="preserve"> because this provides an additional incentive for </w:t>
      </w:r>
      <w:r w:rsidR="00B76E7E">
        <w:rPr>
          <w:rFonts w:asciiTheme="minorHAnsi" w:hAnsiTheme="minorHAnsi" w:cstheme="minorHAnsi"/>
          <w:sz w:val="21"/>
          <w:szCs w:val="21"/>
        </w:rPr>
        <w:t>T</w:t>
      </w:r>
      <w:r w:rsidR="00004BE7">
        <w:rPr>
          <w:rFonts w:asciiTheme="minorHAnsi" w:hAnsiTheme="minorHAnsi" w:cstheme="minorHAnsi"/>
          <w:sz w:val="21"/>
          <w:szCs w:val="21"/>
        </w:rPr>
        <w:t>igress</w:t>
      </w:r>
      <w:r w:rsidRPr="005F0AE0">
        <w:rPr>
          <w:rFonts w:asciiTheme="minorHAnsi" w:hAnsiTheme="minorHAnsi" w:cstheme="minorHAnsi"/>
          <w:sz w:val="21"/>
          <w:szCs w:val="21"/>
        </w:rPr>
        <w:t xml:space="preserve"> to utilize the funds of sponsors that provide ongoing support to </w:t>
      </w:r>
      <w:r w:rsidR="00B76E7E">
        <w:rPr>
          <w:rFonts w:asciiTheme="minorHAnsi" w:hAnsiTheme="minorHAnsi" w:cstheme="minorHAnsi"/>
          <w:sz w:val="21"/>
          <w:szCs w:val="21"/>
        </w:rPr>
        <w:t>T</w:t>
      </w:r>
      <w:r w:rsidR="00004BE7">
        <w:rPr>
          <w:rFonts w:asciiTheme="minorHAnsi" w:hAnsiTheme="minorHAnsi" w:cstheme="minorHAnsi"/>
          <w:sz w:val="21"/>
          <w:szCs w:val="21"/>
        </w:rPr>
        <w:t>igress</w:t>
      </w:r>
      <w:r w:rsidRPr="005F0AE0">
        <w:rPr>
          <w:rFonts w:asciiTheme="minorHAnsi" w:hAnsiTheme="minorHAnsi" w:cstheme="minorHAnsi"/>
          <w:sz w:val="21"/>
          <w:szCs w:val="21"/>
        </w:rPr>
        <w:t xml:space="preserve">. </w:t>
      </w:r>
    </w:p>
    <w:p w14:paraId="3E6A7F61" w14:textId="77777777" w:rsidR="00361B08" w:rsidRPr="005F0AE0" w:rsidRDefault="00361B08" w:rsidP="00361B08">
      <w:pPr>
        <w:pStyle w:val="BodyText"/>
        <w:ind w:left="720"/>
        <w:jc w:val="both"/>
        <w:rPr>
          <w:rFonts w:asciiTheme="minorHAnsi" w:hAnsiTheme="minorHAnsi" w:cstheme="minorHAnsi"/>
          <w:sz w:val="21"/>
          <w:szCs w:val="21"/>
        </w:rPr>
      </w:pPr>
    </w:p>
    <w:p w14:paraId="16A57D17" w14:textId="158D2F4E" w:rsidR="00361B08" w:rsidRPr="005F0AE0" w:rsidRDefault="00B76E7E" w:rsidP="00361B08">
      <w:pPr>
        <w:pStyle w:val="BodyText"/>
        <w:ind w:left="720"/>
        <w:jc w:val="both"/>
        <w:rPr>
          <w:rFonts w:asciiTheme="minorHAnsi" w:hAnsiTheme="minorHAnsi" w:cstheme="minorHAnsi"/>
          <w:sz w:val="21"/>
          <w:szCs w:val="21"/>
        </w:rPr>
      </w:pPr>
      <w:r>
        <w:rPr>
          <w:rFonts w:asciiTheme="minorHAnsi" w:hAnsiTheme="minorHAnsi" w:cstheme="minorHAnsi"/>
          <w:sz w:val="21"/>
          <w:szCs w:val="21"/>
        </w:rPr>
        <w:t>T</w:t>
      </w:r>
      <w:r w:rsidR="00004BE7">
        <w:rPr>
          <w:rFonts w:asciiTheme="minorHAnsi" w:hAnsiTheme="minorHAnsi" w:cstheme="minorHAnsi"/>
          <w:sz w:val="21"/>
          <w:szCs w:val="21"/>
        </w:rPr>
        <w:t>igress</w:t>
      </w:r>
      <w:r w:rsidR="00361B08" w:rsidRPr="005F0AE0">
        <w:rPr>
          <w:rFonts w:asciiTheme="minorHAnsi" w:hAnsiTheme="minorHAnsi" w:cstheme="minorHAnsi"/>
          <w:sz w:val="21"/>
          <w:szCs w:val="21"/>
        </w:rPr>
        <w:t xml:space="preserve"> has implemented a compliance program to monitor its compensation arrangements, to review whether customer assets are invested in, what we believe, are the best available mutual funds for the strategies we are implementing. As always, please see a fund’s prospectus for more information about fees.</w:t>
      </w:r>
    </w:p>
    <w:p w14:paraId="62ACBD93" w14:textId="77777777" w:rsidR="00CA4A2E" w:rsidRPr="005F0AE0" w:rsidRDefault="00CA4A2E" w:rsidP="00CA4A2E">
      <w:pPr>
        <w:widowControl/>
        <w:adjustRightInd w:val="0"/>
        <w:jc w:val="both"/>
        <w:rPr>
          <w:rFonts w:asciiTheme="minorHAnsi" w:eastAsiaTheme="minorHAnsi" w:hAnsiTheme="minorHAnsi" w:cstheme="minorHAnsi"/>
          <w:b/>
          <w:bCs/>
          <w:color w:val="000000"/>
          <w:sz w:val="21"/>
          <w:szCs w:val="21"/>
        </w:rPr>
      </w:pPr>
    </w:p>
    <w:p w14:paraId="466176CD" w14:textId="4302EF8D" w:rsidR="00044BB1" w:rsidRPr="005F0AE0" w:rsidRDefault="00AB4D79" w:rsidP="00CA4A2E">
      <w:pPr>
        <w:widowControl/>
        <w:adjustRightInd w:val="0"/>
        <w:ind w:left="720"/>
        <w:jc w:val="both"/>
        <w:rPr>
          <w:rFonts w:asciiTheme="minorHAnsi" w:eastAsiaTheme="minorHAnsi" w:hAnsiTheme="minorHAnsi" w:cstheme="minorHAnsi"/>
          <w:color w:val="000000"/>
          <w:sz w:val="21"/>
          <w:szCs w:val="21"/>
        </w:rPr>
      </w:pPr>
      <w:r w:rsidRPr="005F0AE0">
        <w:rPr>
          <w:rFonts w:asciiTheme="minorHAnsi" w:eastAsiaTheme="minorHAnsi" w:hAnsiTheme="minorHAnsi" w:cstheme="minorHAnsi"/>
          <w:b/>
          <w:bCs/>
          <w:color w:val="000000"/>
          <w:sz w:val="21"/>
          <w:szCs w:val="21"/>
        </w:rPr>
        <w:t xml:space="preserve">Note: </w:t>
      </w:r>
      <w:r w:rsidRPr="005F0AE0">
        <w:rPr>
          <w:rFonts w:asciiTheme="minorHAnsi" w:eastAsiaTheme="minorHAnsi" w:hAnsiTheme="minorHAnsi" w:cstheme="minorHAnsi"/>
          <w:color w:val="000000"/>
          <w:sz w:val="21"/>
          <w:szCs w:val="21"/>
        </w:rPr>
        <w:t xml:space="preserve">The amount of these payments is not dependent or related to the level of assets you or any other of our </w:t>
      </w:r>
      <w:r w:rsidR="004A059C" w:rsidRPr="005F0AE0">
        <w:rPr>
          <w:rFonts w:asciiTheme="minorHAnsi" w:eastAsiaTheme="minorHAnsi" w:hAnsiTheme="minorHAnsi" w:cstheme="minorHAnsi"/>
          <w:color w:val="000000"/>
          <w:sz w:val="21"/>
          <w:szCs w:val="21"/>
        </w:rPr>
        <w:t>customer</w:t>
      </w:r>
      <w:r w:rsidRPr="005F0AE0">
        <w:rPr>
          <w:rFonts w:asciiTheme="minorHAnsi" w:eastAsiaTheme="minorHAnsi" w:hAnsiTheme="minorHAnsi" w:cstheme="minorHAnsi"/>
          <w:color w:val="000000"/>
          <w:sz w:val="21"/>
          <w:szCs w:val="21"/>
        </w:rPr>
        <w:t xml:space="preserve">s invest in or with the Product Sponsor. </w:t>
      </w:r>
    </w:p>
    <w:p w14:paraId="5E519E7E" w14:textId="364699B4" w:rsidR="00AB4D79" w:rsidRPr="005F0AE0" w:rsidRDefault="00AB4D79" w:rsidP="00044BB1">
      <w:pPr>
        <w:widowControl/>
        <w:adjustRightInd w:val="0"/>
        <w:rPr>
          <w:rFonts w:asciiTheme="minorHAnsi" w:eastAsiaTheme="minorHAnsi" w:hAnsiTheme="minorHAnsi" w:cstheme="minorHAnsi"/>
          <w:b/>
          <w:color w:val="000000"/>
          <w:sz w:val="21"/>
          <w:szCs w:val="21"/>
        </w:rPr>
      </w:pPr>
    </w:p>
    <w:p w14:paraId="7C58A3D1" w14:textId="1A0F2E2A" w:rsidR="00AB4D79" w:rsidRPr="005F0AE0" w:rsidRDefault="006523B3" w:rsidP="00412143">
      <w:pPr>
        <w:widowControl/>
        <w:adjustRightInd w:val="0"/>
        <w:ind w:left="144"/>
        <w:rPr>
          <w:rFonts w:asciiTheme="minorHAnsi" w:eastAsiaTheme="minorHAnsi" w:hAnsiTheme="minorHAnsi" w:cstheme="minorHAnsi"/>
          <w:bCs/>
          <w:color w:val="FFFFFF" w:themeColor="background1"/>
          <w:sz w:val="21"/>
          <w:szCs w:val="21"/>
          <w:u w:val="single"/>
        </w:rPr>
      </w:pPr>
      <w:r w:rsidRPr="005F0AE0">
        <w:rPr>
          <w:rFonts w:asciiTheme="minorHAnsi" w:eastAsiaTheme="minorHAnsi" w:hAnsiTheme="minorHAnsi" w:cstheme="minorHAnsi"/>
          <w:b/>
          <w:sz w:val="21"/>
          <w:szCs w:val="21"/>
        </w:rPr>
        <w:t>Compensation Received by Financial Professionals / Representatives</w:t>
      </w:r>
      <w:r w:rsidRPr="005F0AE0">
        <w:rPr>
          <w:rFonts w:asciiTheme="minorHAnsi" w:eastAsiaTheme="minorHAnsi" w:hAnsiTheme="minorHAnsi" w:cstheme="minorHAnsi"/>
          <w:b/>
          <w:color w:val="FFFFFF" w:themeColor="background1"/>
          <w:sz w:val="21"/>
          <w:szCs w:val="21"/>
          <w:u w:val="single"/>
        </w:rPr>
        <w:t xml:space="preserve"> ION</w:t>
      </w:r>
      <w:r w:rsidR="00D95B1B" w:rsidRPr="005F0AE0">
        <w:rPr>
          <w:rFonts w:asciiTheme="minorHAnsi" w:eastAsiaTheme="minorHAnsi" w:hAnsiTheme="minorHAnsi" w:cstheme="minorHAnsi"/>
          <w:bCs/>
          <w:color w:val="FFFFFF" w:themeColor="background1"/>
          <w:sz w:val="21"/>
          <w:szCs w:val="21"/>
          <w:u w:val="single"/>
        </w:rPr>
        <w:t xml:space="preserve"> PRACTICES]</w:t>
      </w:r>
    </w:p>
    <w:p w14:paraId="2D11277E" w14:textId="3D1AA30B" w:rsidR="00CA4A2E" w:rsidRPr="005F0AE0" w:rsidRDefault="00CA4A2E" w:rsidP="00412143">
      <w:pPr>
        <w:widowControl/>
        <w:adjustRightInd w:val="0"/>
        <w:ind w:left="144"/>
        <w:jc w:val="both"/>
        <w:rPr>
          <w:rFonts w:asciiTheme="minorHAnsi" w:eastAsiaTheme="minorHAnsi" w:hAnsiTheme="minorHAnsi" w:cstheme="minorHAnsi"/>
          <w:b/>
          <w:bCs/>
          <w:color w:val="000000"/>
          <w:sz w:val="21"/>
          <w:szCs w:val="21"/>
        </w:rPr>
      </w:pPr>
      <w:r w:rsidRPr="005F0AE0">
        <w:rPr>
          <w:rFonts w:asciiTheme="minorHAnsi" w:eastAsiaTheme="minorHAnsi" w:hAnsiTheme="minorHAnsi" w:cstheme="minorHAnsi"/>
          <w:b/>
          <w:bCs/>
          <w:color w:val="000000"/>
          <w:sz w:val="21"/>
          <w:szCs w:val="21"/>
        </w:rPr>
        <w:t>Commission-based Compensation</w:t>
      </w:r>
    </w:p>
    <w:p w14:paraId="6F918993" w14:textId="3BF91FE8" w:rsidR="00AB4D79" w:rsidRPr="005F0AE0" w:rsidRDefault="007148C7" w:rsidP="00412143">
      <w:pPr>
        <w:widowControl/>
        <w:adjustRightInd w:val="0"/>
        <w:ind w:left="144"/>
        <w:jc w:val="both"/>
        <w:rPr>
          <w:rFonts w:asciiTheme="minorHAnsi" w:eastAsiaTheme="minorHAnsi" w:hAnsiTheme="minorHAnsi" w:cstheme="minorHAnsi"/>
          <w:color w:val="000000"/>
          <w:sz w:val="21"/>
          <w:szCs w:val="21"/>
        </w:rPr>
      </w:pPr>
      <w:r w:rsidRPr="005F0AE0">
        <w:rPr>
          <w:rFonts w:asciiTheme="minorHAnsi" w:eastAsiaTheme="minorHAnsi" w:hAnsiTheme="minorHAnsi" w:cstheme="minorHAnsi"/>
          <w:color w:val="000000"/>
          <w:sz w:val="21"/>
          <w:szCs w:val="21"/>
        </w:rPr>
        <w:t>Financial Professional</w:t>
      </w:r>
      <w:r w:rsidR="00AB4D79" w:rsidRPr="005F0AE0">
        <w:rPr>
          <w:rFonts w:asciiTheme="minorHAnsi" w:eastAsiaTheme="minorHAnsi" w:hAnsiTheme="minorHAnsi" w:cstheme="minorHAnsi"/>
          <w:color w:val="000000"/>
          <w:sz w:val="21"/>
          <w:szCs w:val="21"/>
        </w:rPr>
        <w:t xml:space="preserve">s are compensated in a variety of ways from sales of products and services to </w:t>
      </w:r>
      <w:r w:rsidR="004A059C" w:rsidRPr="005F0AE0">
        <w:rPr>
          <w:rFonts w:asciiTheme="minorHAnsi" w:eastAsiaTheme="minorHAnsi" w:hAnsiTheme="minorHAnsi" w:cstheme="minorHAnsi"/>
          <w:color w:val="000000"/>
          <w:sz w:val="21"/>
          <w:szCs w:val="21"/>
        </w:rPr>
        <w:t>customer</w:t>
      </w:r>
      <w:r w:rsidR="00AB4D79" w:rsidRPr="005F0AE0">
        <w:rPr>
          <w:rFonts w:asciiTheme="minorHAnsi" w:eastAsiaTheme="minorHAnsi" w:hAnsiTheme="minorHAnsi" w:cstheme="minorHAnsi"/>
          <w:color w:val="000000"/>
          <w:sz w:val="21"/>
          <w:szCs w:val="21"/>
        </w:rPr>
        <w:t>s, including brokerage account activity. This compensation var</w:t>
      </w:r>
      <w:r w:rsidR="00F24E21" w:rsidRPr="005F0AE0">
        <w:rPr>
          <w:rFonts w:asciiTheme="minorHAnsi" w:eastAsiaTheme="minorHAnsi" w:hAnsiTheme="minorHAnsi" w:cstheme="minorHAnsi"/>
          <w:color w:val="000000"/>
          <w:sz w:val="21"/>
          <w:szCs w:val="21"/>
        </w:rPr>
        <w:t>ies</w:t>
      </w:r>
      <w:r w:rsidR="00AB4D79" w:rsidRPr="005F0AE0">
        <w:rPr>
          <w:rFonts w:asciiTheme="minorHAnsi" w:eastAsiaTheme="minorHAnsi" w:hAnsiTheme="minorHAnsi" w:cstheme="minorHAnsi"/>
          <w:color w:val="000000"/>
          <w:sz w:val="21"/>
          <w:szCs w:val="21"/>
        </w:rPr>
        <w:t xml:space="preserve"> by the product or service associated with a brokerage recommendation. </w:t>
      </w:r>
      <w:r w:rsidR="00EE4C5D" w:rsidRPr="005F0AE0">
        <w:rPr>
          <w:rFonts w:asciiTheme="minorHAnsi" w:eastAsiaTheme="minorHAnsi" w:hAnsiTheme="minorHAnsi" w:cstheme="minorHAnsi"/>
          <w:color w:val="000000"/>
          <w:sz w:val="21"/>
          <w:szCs w:val="21"/>
        </w:rPr>
        <w:t xml:space="preserve">In addition to upfront-transaction based compensation, some products feature on-going residual or “trail” payments. </w:t>
      </w:r>
    </w:p>
    <w:p w14:paraId="3D57C7F6" w14:textId="77777777" w:rsidR="00AB4D79" w:rsidRPr="005F0AE0" w:rsidRDefault="00AB4D79" w:rsidP="00412143">
      <w:pPr>
        <w:widowControl/>
        <w:adjustRightInd w:val="0"/>
        <w:ind w:left="144"/>
        <w:rPr>
          <w:rFonts w:asciiTheme="minorHAnsi" w:eastAsiaTheme="minorHAnsi" w:hAnsiTheme="minorHAnsi" w:cstheme="minorHAnsi"/>
          <w:color w:val="000000"/>
          <w:sz w:val="21"/>
          <w:szCs w:val="21"/>
        </w:rPr>
      </w:pPr>
    </w:p>
    <w:p w14:paraId="6B9EF012" w14:textId="026702BA" w:rsidR="00AB4D79" w:rsidRPr="005F0AE0" w:rsidRDefault="00AB4D79" w:rsidP="00412143">
      <w:pPr>
        <w:widowControl/>
        <w:adjustRightInd w:val="0"/>
        <w:ind w:left="144"/>
        <w:jc w:val="both"/>
        <w:rPr>
          <w:rFonts w:asciiTheme="minorHAnsi" w:eastAsiaTheme="minorHAnsi" w:hAnsiTheme="minorHAnsi" w:cstheme="minorHAnsi"/>
          <w:color w:val="000000"/>
          <w:sz w:val="21"/>
          <w:szCs w:val="21"/>
        </w:rPr>
      </w:pPr>
      <w:r w:rsidRPr="005F0AE0">
        <w:rPr>
          <w:rFonts w:asciiTheme="minorHAnsi" w:eastAsiaTheme="minorHAnsi" w:hAnsiTheme="minorHAnsi" w:cstheme="minorHAnsi"/>
          <w:color w:val="000000"/>
          <w:sz w:val="21"/>
          <w:szCs w:val="21"/>
        </w:rPr>
        <w:t xml:space="preserve">Typically, a </w:t>
      </w:r>
      <w:r w:rsidR="00EE0452" w:rsidRPr="005F0AE0">
        <w:rPr>
          <w:rFonts w:asciiTheme="minorHAnsi" w:eastAsiaTheme="minorHAnsi" w:hAnsiTheme="minorHAnsi" w:cstheme="minorHAnsi"/>
          <w:color w:val="000000"/>
          <w:sz w:val="21"/>
          <w:szCs w:val="21"/>
        </w:rPr>
        <w:t>Financial Professional</w:t>
      </w:r>
      <w:r w:rsidRPr="005F0AE0">
        <w:rPr>
          <w:rFonts w:asciiTheme="minorHAnsi" w:eastAsiaTheme="minorHAnsi" w:hAnsiTheme="minorHAnsi" w:cstheme="minorHAnsi"/>
          <w:color w:val="000000"/>
          <w:sz w:val="21"/>
          <w:szCs w:val="21"/>
        </w:rPr>
        <w:t xml:space="preserve">’s payout schedule (periodically adjusted by us at our discretion) increases with production and asset levels. The same payout schedule is reduced when </w:t>
      </w:r>
      <w:r w:rsidR="00EE0452" w:rsidRPr="005F0AE0">
        <w:rPr>
          <w:rFonts w:asciiTheme="minorHAnsi" w:eastAsiaTheme="minorHAnsi" w:hAnsiTheme="minorHAnsi" w:cstheme="minorHAnsi"/>
          <w:color w:val="000000"/>
          <w:sz w:val="21"/>
          <w:szCs w:val="21"/>
        </w:rPr>
        <w:t>Financial Professional</w:t>
      </w:r>
      <w:r w:rsidRPr="005F0AE0">
        <w:rPr>
          <w:rFonts w:asciiTheme="minorHAnsi" w:eastAsiaTheme="minorHAnsi" w:hAnsiTheme="minorHAnsi" w:cstheme="minorHAnsi"/>
          <w:color w:val="000000"/>
          <w:sz w:val="21"/>
          <w:szCs w:val="21"/>
        </w:rPr>
        <w:t xml:space="preserve">s discount certain </w:t>
      </w:r>
      <w:r w:rsidR="004A059C" w:rsidRPr="005F0AE0">
        <w:rPr>
          <w:rFonts w:asciiTheme="minorHAnsi" w:eastAsiaTheme="minorHAnsi" w:hAnsiTheme="minorHAnsi" w:cstheme="minorHAnsi"/>
          <w:color w:val="000000"/>
          <w:sz w:val="21"/>
          <w:szCs w:val="21"/>
        </w:rPr>
        <w:t>customer</w:t>
      </w:r>
      <w:r w:rsidRPr="005F0AE0">
        <w:rPr>
          <w:rFonts w:asciiTheme="minorHAnsi" w:eastAsiaTheme="minorHAnsi" w:hAnsiTheme="minorHAnsi" w:cstheme="minorHAnsi"/>
          <w:color w:val="000000"/>
          <w:sz w:val="21"/>
          <w:szCs w:val="21"/>
        </w:rPr>
        <w:t xml:space="preserve"> fees and commissions, or </w:t>
      </w:r>
      <w:r w:rsidR="004A059C" w:rsidRPr="005F0AE0">
        <w:rPr>
          <w:rFonts w:asciiTheme="minorHAnsi" w:eastAsiaTheme="minorHAnsi" w:hAnsiTheme="minorHAnsi" w:cstheme="minorHAnsi"/>
          <w:color w:val="000000"/>
          <w:sz w:val="21"/>
          <w:szCs w:val="21"/>
        </w:rPr>
        <w:t>customer</w:t>
      </w:r>
      <w:r w:rsidRPr="005F0AE0">
        <w:rPr>
          <w:rFonts w:asciiTheme="minorHAnsi" w:eastAsiaTheme="minorHAnsi" w:hAnsiTheme="minorHAnsi" w:cstheme="minorHAnsi"/>
          <w:color w:val="000000"/>
          <w:sz w:val="21"/>
          <w:szCs w:val="21"/>
        </w:rPr>
        <w:t xml:space="preserve"> relationship asset levels are below minimums established by </w:t>
      </w:r>
      <w:r w:rsidR="00F24E21" w:rsidRPr="005F0AE0">
        <w:rPr>
          <w:rFonts w:asciiTheme="minorHAnsi" w:eastAsiaTheme="minorHAnsi" w:hAnsiTheme="minorHAnsi" w:cstheme="minorHAnsi"/>
          <w:color w:val="000000"/>
          <w:sz w:val="21"/>
          <w:szCs w:val="21"/>
        </w:rPr>
        <w:t>the clearing firm or third party</w:t>
      </w:r>
      <w:r w:rsidRPr="005F0AE0">
        <w:rPr>
          <w:rFonts w:asciiTheme="minorHAnsi" w:eastAsiaTheme="minorHAnsi" w:hAnsiTheme="minorHAnsi" w:cstheme="minorHAnsi"/>
          <w:color w:val="000000"/>
          <w:sz w:val="21"/>
          <w:szCs w:val="21"/>
        </w:rPr>
        <w:t xml:space="preserve">. </w:t>
      </w:r>
      <w:r w:rsidR="007148C7" w:rsidRPr="005F0AE0">
        <w:rPr>
          <w:rFonts w:asciiTheme="minorHAnsi" w:eastAsiaTheme="minorHAnsi" w:hAnsiTheme="minorHAnsi" w:cstheme="minorHAnsi"/>
          <w:color w:val="000000"/>
          <w:sz w:val="21"/>
          <w:szCs w:val="21"/>
        </w:rPr>
        <w:t>Financial Professional</w:t>
      </w:r>
      <w:r w:rsidRPr="005F0AE0">
        <w:rPr>
          <w:rFonts w:asciiTheme="minorHAnsi" w:eastAsiaTheme="minorHAnsi" w:hAnsiTheme="minorHAnsi" w:cstheme="minorHAnsi"/>
          <w:color w:val="000000"/>
          <w:sz w:val="21"/>
          <w:szCs w:val="21"/>
        </w:rPr>
        <w:t xml:space="preserve">s also may be eligible for annual or ongoing bonuses and deferred compensation awards based upon a variety of factors that may include reaching certain production levels, tenure with the firm, </w:t>
      </w:r>
      <w:r w:rsidR="004A059C" w:rsidRPr="005F0AE0">
        <w:rPr>
          <w:rFonts w:asciiTheme="minorHAnsi" w:eastAsiaTheme="minorHAnsi" w:hAnsiTheme="minorHAnsi" w:cstheme="minorHAnsi"/>
          <w:color w:val="000000"/>
          <w:sz w:val="21"/>
          <w:szCs w:val="21"/>
        </w:rPr>
        <w:t>customer</w:t>
      </w:r>
      <w:r w:rsidRPr="005F0AE0">
        <w:rPr>
          <w:rFonts w:asciiTheme="minorHAnsi" w:eastAsiaTheme="minorHAnsi" w:hAnsiTheme="minorHAnsi" w:cstheme="minorHAnsi"/>
          <w:color w:val="000000"/>
          <w:sz w:val="21"/>
          <w:szCs w:val="21"/>
        </w:rPr>
        <w:t xml:space="preserve"> product mix, asset gathering, referrals to affiliates or other targets, as well as compliance with our policies and procedures and meeting </w:t>
      </w:r>
      <w:r w:rsidR="00A52994" w:rsidRPr="005F0AE0">
        <w:rPr>
          <w:rFonts w:asciiTheme="minorHAnsi" w:eastAsiaTheme="minorHAnsi" w:hAnsiTheme="minorHAnsi" w:cstheme="minorHAnsi"/>
          <w:color w:val="000000"/>
          <w:sz w:val="21"/>
          <w:szCs w:val="21"/>
        </w:rPr>
        <w:t xml:space="preserve">industry </w:t>
      </w:r>
      <w:r w:rsidRPr="005F0AE0">
        <w:rPr>
          <w:rFonts w:asciiTheme="minorHAnsi" w:eastAsiaTheme="minorHAnsi" w:hAnsiTheme="minorHAnsi" w:cstheme="minorHAnsi"/>
          <w:color w:val="000000"/>
          <w:sz w:val="21"/>
          <w:szCs w:val="21"/>
        </w:rPr>
        <w:t xml:space="preserve">best business practices. </w:t>
      </w:r>
    </w:p>
    <w:p w14:paraId="4B6CDC39" w14:textId="77777777" w:rsidR="00AB4D79" w:rsidRPr="005F0AE0" w:rsidRDefault="00AB4D79" w:rsidP="00AB4D79">
      <w:pPr>
        <w:widowControl/>
        <w:adjustRightInd w:val="0"/>
        <w:rPr>
          <w:rFonts w:asciiTheme="minorHAnsi" w:eastAsiaTheme="minorHAnsi" w:hAnsiTheme="minorHAnsi" w:cstheme="minorHAnsi"/>
          <w:color w:val="000000"/>
          <w:sz w:val="21"/>
          <w:szCs w:val="21"/>
        </w:rPr>
      </w:pPr>
    </w:p>
    <w:p w14:paraId="6AB114D8" w14:textId="77777777" w:rsidR="00A52994" w:rsidRPr="005F0AE0" w:rsidRDefault="00AB4D79" w:rsidP="00412143">
      <w:pPr>
        <w:widowControl/>
        <w:adjustRightInd w:val="0"/>
        <w:ind w:left="144"/>
        <w:jc w:val="both"/>
        <w:rPr>
          <w:rFonts w:asciiTheme="minorHAnsi" w:eastAsiaTheme="minorHAnsi" w:hAnsiTheme="minorHAnsi" w:cstheme="minorHAnsi"/>
          <w:color w:val="000000"/>
          <w:sz w:val="21"/>
          <w:szCs w:val="21"/>
        </w:rPr>
      </w:pPr>
      <w:r w:rsidRPr="005F0AE0">
        <w:rPr>
          <w:rFonts w:asciiTheme="minorHAnsi" w:eastAsiaTheme="minorHAnsi" w:hAnsiTheme="minorHAnsi" w:cstheme="minorHAnsi"/>
          <w:color w:val="000000"/>
          <w:sz w:val="21"/>
          <w:szCs w:val="21"/>
        </w:rPr>
        <w:t xml:space="preserve">As a result, </w:t>
      </w:r>
      <w:r w:rsidR="00EE0452" w:rsidRPr="005F0AE0">
        <w:rPr>
          <w:rFonts w:asciiTheme="minorHAnsi" w:eastAsiaTheme="minorHAnsi" w:hAnsiTheme="minorHAnsi" w:cstheme="minorHAnsi"/>
          <w:color w:val="000000"/>
          <w:sz w:val="21"/>
          <w:szCs w:val="21"/>
        </w:rPr>
        <w:t>Financial Professional</w:t>
      </w:r>
      <w:r w:rsidRPr="005F0AE0">
        <w:rPr>
          <w:rFonts w:asciiTheme="minorHAnsi" w:eastAsiaTheme="minorHAnsi" w:hAnsiTheme="minorHAnsi" w:cstheme="minorHAnsi"/>
          <w:color w:val="000000"/>
          <w:sz w:val="21"/>
          <w:szCs w:val="21"/>
        </w:rPr>
        <w:t xml:space="preserve">s have an incentive to provide brokerage recommendations that result in selling more investment products and services, as well as investment products and services that carry higher fees. </w:t>
      </w:r>
      <w:r w:rsidR="007148C7" w:rsidRPr="005F0AE0">
        <w:rPr>
          <w:rFonts w:asciiTheme="minorHAnsi" w:eastAsiaTheme="minorHAnsi" w:hAnsiTheme="minorHAnsi" w:cstheme="minorHAnsi"/>
          <w:color w:val="000000"/>
          <w:sz w:val="21"/>
          <w:szCs w:val="21"/>
        </w:rPr>
        <w:t>Financial Professional</w:t>
      </w:r>
      <w:r w:rsidRPr="005F0AE0">
        <w:rPr>
          <w:rFonts w:asciiTheme="minorHAnsi" w:eastAsiaTheme="minorHAnsi" w:hAnsiTheme="minorHAnsi" w:cstheme="minorHAnsi"/>
          <w:color w:val="000000"/>
          <w:sz w:val="21"/>
          <w:szCs w:val="21"/>
        </w:rPr>
        <w:t>s also have an incentive to provide brokerage recommendations to increase brokerage trading activity</w:t>
      </w:r>
      <w:r w:rsidR="00A52994" w:rsidRPr="005F0AE0">
        <w:rPr>
          <w:rFonts w:asciiTheme="minorHAnsi" w:eastAsiaTheme="minorHAnsi" w:hAnsiTheme="minorHAnsi" w:cstheme="minorHAnsi"/>
          <w:color w:val="000000"/>
          <w:sz w:val="21"/>
          <w:szCs w:val="21"/>
        </w:rPr>
        <w:t>. We maintain supervisory and compliance policies and procedures designed to ensure that all recommendations are suitable, in your best interest, and are in alignment with your financial investing goals.</w:t>
      </w:r>
    </w:p>
    <w:p w14:paraId="5D04BF15" w14:textId="77777777" w:rsidR="00BC37B1" w:rsidRDefault="00BC37B1" w:rsidP="00412143">
      <w:pPr>
        <w:widowControl/>
        <w:adjustRightInd w:val="0"/>
        <w:ind w:left="144"/>
        <w:jc w:val="both"/>
        <w:rPr>
          <w:rFonts w:asciiTheme="minorHAnsi" w:eastAsiaTheme="minorHAnsi" w:hAnsiTheme="minorHAnsi" w:cstheme="minorHAnsi"/>
          <w:b/>
          <w:bCs/>
          <w:color w:val="000000"/>
          <w:sz w:val="21"/>
          <w:szCs w:val="21"/>
        </w:rPr>
      </w:pPr>
    </w:p>
    <w:p w14:paraId="2B14014B" w14:textId="73AA0813" w:rsidR="00CA4A2E" w:rsidRPr="005F0AE0" w:rsidRDefault="00CA4A2E" w:rsidP="00412143">
      <w:pPr>
        <w:widowControl/>
        <w:adjustRightInd w:val="0"/>
        <w:ind w:left="144"/>
        <w:jc w:val="both"/>
        <w:rPr>
          <w:rFonts w:asciiTheme="minorHAnsi" w:eastAsiaTheme="minorHAnsi" w:hAnsiTheme="minorHAnsi" w:cstheme="minorHAnsi"/>
          <w:b/>
          <w:bCs/>
          <w:color w:val="000000"/>
          <w:sz w:val="21"/>
          <w:szCs w:val="21"/>
        </w:rPr>
      </w:pPr>
      <w:r w:rsidRPr="005F0AE0">
        <w:rPr>
          <w:rFonts w:asciiTheme="minorHAnsi" w:eastAsiaTheme="minorHAnsi" w:hAnsiTheme="minorHAnsi" w:cstheme="minorHAnsi"/>
          <w:b/>
          <w:bCs/>
          <w:color w:val="000000"/>
          <w:sz w:val="21"/>
          <w:szCs w:val="21"/>
        </w:rPr>
        <w:t>Retirement Accounts</w:t>
      </w:r>
    </w:p>
    <w:p w14:paraId="0C1CD7AD" w14:textId="7B529B12" w:rsidR="002F0A55" w:rsidRPr="005F0AE0" w:rsidRDefault="007148C7" w:rsidP="00412143">
      <w:pPr>
        <w:widowControl/>
        <w:adjustRightInd w:val="0"/>
        <w:ind w:left="144"/>
        <w:jc w:val="both"/>
        <w:rPr>
          <w:rFonts w:asciiTheme="minorHAnsi" w:eastAsiaTheme="minorHAnsi" w:hAnsiTheme="minorHAnsi" w:cstheme="minorHAnsi"/>
          <w:color w:val="000000"/>
          <w:sz w:val="21"/>
          <w:szCs w:val="21"/>
        </w:rPr>
      </w:pPr>
      <w:r w:rsidRPr="005F0AE0">
        <w:rPr>
          <w:rFonts w:asciiTheme="minorHAnsi" w:eastAsiaTheme="minorHAnsi" w:hAnsiTheme="minorHAnsi" w:cstheme="minorHAnsi"/>
          <w:color w:val="000000"/>
          <w:sz w:val="21"/>
          <w:szCs w:val="21"/>
        </w:rPr>
        <w:t>Financial Professional</w:t>
      </w:r>
      <w:r w:rsidR="002F0A55" w:rsidRPr="005F0AE0">
        <w:rPr>
          <w:rFonts w:asciiTheme="minorHAnsi" w:eastAsiaTheme="minorHAnsi" w:hAnsiTheme="minorHAnsi" w:cstheme="minorHAnsi"/>
          <w:color w:val="000000"/>
          <w:sz w:val="21"/>
          <w:szCs w:val="21"/>
        </w:rPr>
        <w:t xml:space="preserve">s have an incentive to recommend you rollover assets from a Qualified Retirement Plan (QRP) to a brokerage Individual Retirement Account (IRA) because of the compensation they will receive. We maintain </w:t>
      </w:r>
      <w:r w:rsidR="00A52994" w:rsidRPr="005F0AE0">
        <w:rPr>
          <w:rFonts w:asciiTheme="minorHAnsi" w:eastAsiaTheme="minorHAnsi" w:hAnsiTheme="minorHAnsi" w:cstheme="minorHAnsi"/>
          <w:color w:val="000000"/>
          <w:sz w:val="21"/>
          <w:szCs w:val="21"/>
        </w:rPr>
        <w:t xml:space="preserve">supervisory and compliance </w:t>
      </w:r>
      <w:r w:rsidR="002F0A55" w:rsidRPr="005F0AE0">
        <w:rPr>
          <w:rFonts w:asciiTheme="minorHAnsi" w:eastAsiaTheme="minorHAnsi" w:hAnsiTheme="minorHAnsi" w:cstheme="minorHAnsi"/>
          <w:color w:val="000000"/>
          <w:sz w:val="21"/>
          <w:szCs w:val="21"/>
        </w:rPr>
        <w:t>policies and procedures designed to ensure that rollover recommendations are</w:t>
      </w:r>
      <w:r w:rsidR="00A52994" w:rsidRPr="005F0AE0">
        <w:rPr>
          <w:rFonts w:asciiTheme="minorHAnsi" w:eastAsiaTheme="minorHAnsi" w:hAnsiTheme="minorHAnsi" w:cstheme="minorHAnsi"/>
          <w:color w:val="000000"/>
          <w:sz w:val="21"/>
          <w:szCs w:val="21"/>
        </w:rPr>
        <w:t xml:space="preserve"> suitable,</w:t>
      </w:r>
      <w:r w:rsidR="002F0A55" w:rsidRPr="005F0AE0">
        <w:rPr>
          <w:rFonts w:asciiTheme="minorHAnsi" w:eastAsiaTheme="minorHAnsi" w:hAnsiTheme="minorHAnsi" w:cstheme="minorHAnsi"/>
          <w:color w:val="000000"/>
          <w:sz w:val="21"/>
          <w:szCs w:val="21"/>
        </w:rPr>
        <w:t xml:space="preserve"> in your best interest</w:t>
      </w:r>
      <w:r w:rsidR="00A52994" w:rsidRPr="005F0AE0">
        <w:rPr>
          <w:rFonts w:asciiTheme="minorHAnsi" w:eastAsiaTheme="minorHAnsi" w:hAnsiTheme="minorHAnsi" w:cstheme="minorHAnsi"/>
          <w:color w:val="000000"/>
          <w:sz w:val="21"/>
          <w:szCs w:val="21"/>
        </w:rPr>
        <w:t>, and are in alignment with your financial investing and retirement goals.</w:t>
      </w:r>
    </w:p>
    <w:p w14:paraId="4B519581" w14:textId="77777777" w:rsidR="00AB4D79" w:rsidRPr="005F0AE0" w:rsidRDefault="00AB4D79" w:rsidP="00412143">
      <w:pPr>
        <w:widowControl/>
        <w:adjustRightInd w:val="0"/>
        <w:ind w:left="144"/>
        <w:rPr>
          <w:rFonts w:asciiTheme="minorHAnsi" w:eastAsiaTheme="minorHAnsi" w:hAnsiTheme="minorHAnsi" w:cstheme="minorHAnsi"/>
          <w:color w:val="000000"/>
          <w:sz w:val="21"/>
          <w:szCs w:val="21"/>
        </w:rPr>
      </w:pPr>
    </w:p>
    <w:p w14:paraId="79083D14" w14:textId="77777777" w:rsidR="00044BB1" w:rsidRPr="005F0AE0" w:rsidRDefault="00044BB1" w:rsidP="00412143">
      <w:pPr>
        <w:pStyle w:val="BodyText"/>
        <w:ind w:left="144"/>
        <w:jc w:val="both"/>
        <w:rPr>
          <w:rFonts w:asciiTheme="minorHAnsi" w:hAnsiTheme="minorHAnsi" w:cstheme="minorHAnsi"/>
          <w:b/>
          <w:bCs/>
          <w:sz w:val="21"/>
          <w:szCs w:val="21"/>
        </w:rPr>
      </w:pPr>
      <w:r w:rsidRPr="005F0AE0">
        <w:rPr>
          <w:rFonts w:asciiTheme="minorHAnsi" w:hAnsiTheme="minorHAnsi" w:cstheme="minorHAnsi"/>
          <w:b/>
          <w:bCs/>
          <w:sz w:val="21"/>
          <w:szCs w:val="21"/>
        </w:rPr>
        <w:t>Personal Trading in Same Securities as Clients</w:t>
      </w:r>
    </w:p>
    <w:p w14:paraId="4C1C2CD0" w14:textId="490017FB" w:rsidR="00044BB1" w:rsidRPr="005F0AE0" w:rsidRDefault="00811BAB" w:rsidP="00412143">
      <w:pPr>
        <w:pStyle w:val="BodyText"/>
        <w:ind w:left="144"/>
        <w:jc w:val="both"/>
        <w:rPr>
          <w:rFonts w:asciiTheme="minorHAnsi" w:hAnsiTheme="minorHAnsi" w:cstheme="minorHAnsi"/>
          <w:sz w:val="21"/>
          <w:szCs w:val="21"/>
        </w:rPr>
      </w:pPr>
      <w:r>
        <w:rPr>
          <w:rFonts w:asciiTheme="minorHAnsi" w:hAnsiTheme="minorHAnsi" w:cstheme="minorHAnsi"/>
          <w:sz w:val="21"/>
          <w:szCs w:val="21"/>
        </w:rPr>
        <w:t>Tigress</w:t>
      </w:r>
      <w:r w:rsidR="0028253E">
        <w:rPr>
          <w:rFonts w:asciiTheme="minorHAnsi" w:hAnsiTheme="minorHAnsi" w:cstheme="minorHAnsi"/>
          <w:sz w:val="21"/>
          <w:szCs w:val="21"/>
        </w:rPr>
        <w:t xml:space="preserve"> </w:t>
      </w:r>
      <w:r w:rsidR="00044BB1" w:rsidRPr="005F0AE0">
        <w:rPr>
          <w:rFonts w:asciiTheme="minorHAnsi" w:hAnsiTheme="minorHAnsi" w:cstheme="minorHAnsi"/>
          <w:sz w:val="21"/>
          <w:szCs w:val="21"/>
        </w:rPr>
        <w:t xml:space="preserve">allows Supervised Persons to purchase or sell the same securities that may be recommended to and purchased on behalf </w:t>
      </w:r>
      <w:r w:rsidR="00AA4C0A" w:rsidRPr="005F0AE0">
        <w:rPr>
          <w:rFonts w:asciiTheme="minorHAnsi" w:hAnsiTheme="minorHAnsi" w:cstheme="minorHAnsi"/>
          <w:sz w:val="21"/>
          <w:szCs w:val="21"/>
        </w:rPr>
        <w:t>of customers</w:t>
      </w:r>
      <w:r w:rsidR="00044BB1" w:rsidRPr="005F0AE0">
        <w:rPr>
          <w:rFonts w:asciiTheme="minorHAnsi" w:hAnsiTheme="minorHAnsi" w:cstheme="minorHAnsi"/>
          <w:sz w:val="21"/>
          <w:szCs w:val="21"/>
        </w:rPr>
        <w:t xml:space="preserve">. Owning the same securities that are recommended (purchase or sell) to </w:t>
      </w:r>
      <w:r w:rsidR="00AA4C0A" w:rsidRPr="005F0AE0">
        <w:rPr>
          <w:rFonts w:asciiTheme="minorHAnsi" w:hAnsiTheme="minorHAnsi" w:cstheme="minorHAnsi"/>
          <w:sz w:val="21"/>
          <w:szCs w:val="21"/>
        </w:rPr>
        <w:t xml:space="preserve">customers </w:t>
      </w:r>
      <w:r w:rsidR="00044BB1" w:rsidRPr="005F0AE0">
        <w:rPr>
          <w:rFonts w:asciiTheme="minorHAnsi" w:hAnsiTheme="minorHAnsi" w:cstheme="minorHAnsi"/>
          <w:sz w:val="21"/>
          <w:szCs w:val="21"/>
        </w:rPr>
        <w:t xml:space="preserve">presents a conflict of interest that must be disclosed to </w:t>
      </w:r>
      <w:r w:rsidR="00AA4C0A" w:rsidRPr="005F0AE0">
        <w:rPr>
          <w:rFonts w:asciiTheme="minorHAnsi" w:hAnsiTheme="minorHAnsi" w:cstheme="minorHAnsi"/>
          <w:sz w:val="21"/>
          <w:szCs w:val="21"/>
        </w:rPr>
        <w:t>customers</w:t>
      </w:r>
      <w:r w:rsidR="00044BB1" w:rsidRPr="005F0AE0">
        <w:rPr>
          <w:rFonts w:asciiTheme="minorHAnsi" w:hAnsiTheme="minorHAnsi" w:cstheme="minorHAnsi"/>
          <w:sz w:val="21"/>
          <w:szCs w:val="21"/>
        </w:rPr>
        <w:t xml:space="preserve"> and mitigated through policies </w:t>
      </w:r>
      <w:r w:rsidR="00044BB1" w:rsidRPr="005F0AE0">
        <w:rPr>
          <w:rFonts w:asciiTheme="minorHAnsi" w:hAnsiTheme="minorHAnsi" w:cstheme="minorHAnsi"/>
          <w:sz w:val="21"/>
          <w:szCs w:val="21"/>
        </w:rPr>
        <w:lastRenderedPageBreak/>
        <w:t xml:space="preserve">and procedures. </w:t>
      </w:r>
      <w:r w:rsidR="00AA4C0A" w:rsidRPr="005F0AE0">
        <w:rPr>
          <w:rFonts w:asciiTheme="minorHAnsi" w:hAnsiTheme="minorHAnsi" w:cstheme="minorHAnsi"/>
          <w:sz w:val="21"/>
          <w:szCs w:val="21"/>
        </w:rPr>
        <w:t>Regulation Best Interest directs Financial Professionals</w:t>
      </w:r>
      <w:r w:rsidR="00044BB1" w:rsidRPr="005F0AE0">
        <w:rPr>
          <w:rFonts w:asciiTheme="minorHAnsi" w:hAnsiTheme="minorHAnsi" w:cstheme="minorHAnsi"/>
          <w:sz w:val="21"/>
          <w:szCs w:val="21"/>
        </w:rPr>
        <w:t xml:space="preserve"> to act in the best interest of </w:t>
      </w:r>
      <w:r w:rsidR="00AA4C0A" w:rsidRPr="005F0AE0">
        <w:rPr>
          <w:rFonts w:asciiTheme="minorHAnsi" w:hAnsiTheme="minorHAnsi" w:cstheme="minorHAnsi"/>
          <w:sz w:val="21"/>
          <w:szCs w:val="21"/>
        </w:rPr>
        <w:t>their customers</w:t>
      </w:r>
      <w:r w:rsidR="0092168D" w:rsidRPr="005F0AE0">
        <w:rPr>
          <w:rFonts w:asciiTheme="minorHAnsi" w:hAnsiTheme="minorHAnsi" w:cstheme="minorHAnsi"/>
          <w:sz w:val="21"/>
          <w:szCs w:val="21"/>
        </w:rPr>
        <w:t xml:space="preserve"> and this regulation would be</w:t>
      </w:r>
      <w:r w:rsidR="00044BB1" w:rsidRPr="005F0AE0">
        <w:rPr>
          <w:rFonts w:asciiTheme="minorHAnsi" w:hAnsiTheme="minorHAnsi" w:cstheme="minorHAnsi"/>
          <w:sz w:val="21"/>
          <w:szCs w:val="21"/>
        </w:rPr>
        <w:t xml:space="preserve"> violated if personal trades are made with more advantageous terms than </w:t>
      </w:r>
      <w:r w:rsidR="0092168D" w:rsidRPr="005F0AE0">
        <w:rPr>
          <w:rFonts w:asciiTheme="minorHAnsi" w:hAnsiTheme="minorHAnsi" w:cstheme="minorHAnsi"/>
          <w:sz w:val="21"/>
          <w:szCs w:val="21"/>
        </w:rPr>
        <w:t>your</w:t>
      </w:r>
      <w:r w:rsidR="00044BB1" w:rsidRPr="005F0AE0">
        <w:rPr>
          <w:rFonts w:asciiTheme="minorHAnsi" w:hAnsiTheme="minorHAnsi" w:cstheme="minorHAnsi"/>
          <w:sz w:val="21"/>
          <w:szCs w:val="21"/>
        </w:rPr>
        <w:t xml:space="preserve"> trades, or by trading based on material non-public information. This risk is mitigated by </w:t>
      </w:r>
      <w:r>
        <w:rPr>
          <w:rFonts w:asciiTheme="minorHAnsi" w:hAnsiTheme="minorHAnsi" w:cstheme="minorHAnsi"/>
          <w:sz w:val="21"/>
          <w:szCs w:val="21"/>
        </w:rPr>
        <w:t>Tigress</w:t>
      </w:r>
      <w:r w:rsidR="0028253E">
        <w:rPr>
          <w:rFonts w:asciiTheme="minorHAnsi" w:hAnsiTheme="minorHAnsi" w:cstheme="minorHAnsi"/>
          <w:sz w:val="21"/>
          <w:szCs w:val="21"/>
        </w:rPr>
        <w:t xml:space="preserve"> </w:t>
      </w:r>
      <w:r w:rsidR="00044BB1" w:rsidRPr="005F0AE0">
        <w:rPr>
          <w:rFonts w:asciiTheme="minorHAnsi" w:hAnsiTheme="minorHAnsi" w:cstheme="minorHAnsi"/>
          <w:sz w:val="21"/>
          <w:szCs w:val="21"/>
        </w:rPr>
        <w:t xml:space="preserve">requiring reporting of personal securities trades by its Supervised Persons for review by the Chief Compliance Officer (“CCO”) or delegate. The </w:t>
      </w:r>
      <w:r w:rsidR="0092168D" w:rsidRPr="005F0AE0">
        <w:rPr>
          <w:rFonts w:asciiTheme="minorHAnsi" w:hAnsiTheme="minorHAnsi" w:cstheme="minorHAnsi"/>
          <w:sz w:val="21"/>
          <w:szCs w:val="21"/>
        </w:rPr>
        <w:t>firm</w:t>
      </w:r>
      <w:r w:rsidR="00044BB1" w:rsidRPr="005F0AE0">
        <w:rPr>
          <w:rFonts w:asciiTheme="minorHAnsi" w:hAnsiTheme="minorHAnsi" w:cstheme="minorHAnsi"/>
          <w:sz w:val="21"/>
          <w:szCs w:val="21"/>
        </w:rPr>
        <w:t xml:space="preserve"> has also adopted written policies and procedures to detect the misuse of material, non-public information.</w:t>
      </w:r>
    </w:p>
    <w:p w14:paraId="6FF00DD6" w14:textId="77777777" w:rsidR="00044BB1" w:rsidRPr="005F0AE0" w:rsidRDefault="00044BB1" w:rsidP="00412143">
      <w:pPr>
        <w:pStyle w:val="BodyText"/>
        <w:ind w:left="144"/>
        <w:jc w:val="both"/>
        <w:rPr>
          <w:rFonts w:asciiTheme="minorHAnsi" w:hAnsiTheme="minorHAnsi" w:cstheme="minorHAnsi"/>
          <w:sz w:val="21"/>
          <w:szCs w:val="21"/>
        </w:rPr>
      </w:pPr>
    </w:p>
    <w:p w14:paraId="674FC89F" w14:textId="77777777" w:rsidR="00044BB1" w:rsidRPr="005F0AE0" w:rsidRDefault="00044BB1" w:rsidP="00412143">
      <w:pPr>
        <w:pStyle w:val="BodyText"/>
        <w:ind w:left="144"/>
        <w:jc w:val="both"/>
        <w:rPr>
          <w:rFonts w:asciiTheme="minorHAnsi" w:hAnsiTheme="minorHAnsi" w:cstheme="minorHAnsi"/>
          <w:b/>
          <w:bCs/>
          <w:sz w:val="21"/>
          <w:szCs w:val="21"/>
        </w:rPr>
      </w:pPr>
      <w:r w:rsidRPr="005F0AE0">
        <w:rPr>
          <w:rFonts w:asciiTheme="minorHAnsi" w:hAnsiTheme="minorHAnsi" w:cstheme="minorHAnsi"/>
          <w:b/>
          <w:bCs/>
          <w:sz w:val="21"/>
          <w:szCs w:val="21"/>
        </w:rPr>
        <w:t>Personal Trading at Same Time as Client</w:t>
      </w:r>
    </w:p>
    <w:p w14:paraId="7AD05B97" w14:textId="4ECB70EF" w:rsidR="00044BB1" w:rsidRPr="005F0AE0" w:rsidRDefault="00044BB1" w:rsidP="00412143">
      <w:pPr>
        <w:pStyle w:val="BodyText"/>
        <w:ind w:left="144"/>
        <w:jc w:val="both"/>
        <w:rPr>
          <w:rFonts w:asciiTheme="minorHAnsi" w:hAnsiTheme="minorHAnsi" w:cstheme="minorHAnsi"/>
          <w:sz w:val="21"/>
          <w:szCs w:val="21"/>
        </w:rPr>
      </w:pPr>
      <w:r w:rsidRPr="005F0AE0">
        <w:rPr>
          <w:rFonts w:asciiTheme="minorHAnsi" w:hAnsiTheme="minorHAnsi" w:cstheme="minorHAnsi"/>
          <w:sz w:val="21"/>
          <w:szCs w:val="21"/>
        </w:rPr>
        <w:t xml:space="preserve">While </w:t>
      </w:r>
      <w:r w:rsidR="00811BAB">
        <w:rPr>
          <w:rFonts w:asciiTheme="minorHAnsi" w:hAnsiTheme="minorHAnsi" w:cstheme="minorHAnsi"/>
          <w:sz w:val="21"/>
          <w:szCs w:val="21"/>
        </w:rPr>
        <w:t>Tigress</w:t>
      </w:r>
      <w:r w:rsidR="0028253E">
        <w:rPr>
          <w:rFonts w:asciiTheme="minorHAnsi" w:hAnsiTheme="minorHAnsi" w:cstheme="minorHAnsi"/>
          <w:sz w:val="21"/>
          <w:szCs w:val="21"/>
        </w:rPr>
        <w:t xml:space="preserve"> </w:t>
      </w:r>
      <w:r w:rsidRPr="005F0AE0">
        <w:rPr>
          <w:rFonts w:asciiTheme="minorHAnsi" w:hAnsiTheme="minorHAnsi" w:cstheme="minorHAnsi"/>
          <w:sz w:val="21"/>
          <w:szCs w:val="21"/>
        </w:rPr>
        <w:t xml:space="preserve">allows Supervised Persons to purchase or sell the same securities that may be recommended to and purchased on behalf of Clients, such trades are required to be traded afterward. At no time will </w:t>
      </w:r>
      <w:r w:rsidR="0028253E">
        <w:rPr>
          <w:rFonts w:asciiTheme="minorHAnsi" w:hAnsiTheme="minorHAnsi" w:cstheme="minorHAnsi"/>
          <w:sz w:val="21"/>
          <w:szCs w:val="21"/>
        </w:rPr>
        <w:t>Tigress</w:t>
      </w:r>
      <w:r w:rsidRPr="005F0AE0">
        <w:rPr>
          <w:rFonts w:asciiTheme="minorHAnsi" w:hAnsiTheme="minorHAnsi" w:cstheme="minorHAnsi"/>
          <w:sz w:val="21"/>
          <w:szCs w:val="21"/>
        </w:rPr>
        <w:t xml:space="preserve">, or any Supervised Person of </w:t>
      </w:r>
      <w:r w:rsidR="0028253E">
        <w:rPr>
          <w:rFonts w:asciiTheme="minorHAnsi" w:hAnsiTheme="minorHAnsi" w:cstheme="minorHAnsi"/>
          <w:sz w:val="21"/>
          <w:szCs w:val="21"/>
        </w:rPr>
        <w:t>Tigress</w:t>
      </w:r>
      <w:r w:rsidRPr="005F0AE0">
        <w:rPr>
          <w:rFonts w:asciiTheme="minorHAnsi" w:hAnsiTheme="minorHAnsi" w:cstheme="minorHAnsi"/>
          <w:sz w:val="21"/>
          <w:szCs w:val="21"/>
        </w:rPr>
        <w:t xml:space="preserve">, transact in any security to the detriment of any </w:t>
      </w:r>
      <w:r w:rsidR="0092168D" w:rsidRPr="005F0AE0">
        <w:rPr>
          <w:rFonts w:asciiTheme="minorHAnsi" w:hAnsiTheme="minorHAnsi" w:cstheme="minorHAnsi"/>
          <w:sz w:val="21"/>
          <w:szCs w:val="21"/>
        </w:rPr>
        <w:t>brokerage customer</w:t>
      </w:r>
      <w:r w:rsidRPr="005F0AE0">
        <w:rPr>
          <w:rFonts w:asciiTheme="minorHAnsi" w:hAnsiTheme="minorHAnsi" w:cstheme="minorHAnsi"/>
          <w:sz w:val="21"/>
          <w:szCs w:val="21"/>
        </w:rPr>
        <w:t>.</w:t>
      </w:r>
    </w:p>
    <w:p w14:paraId="2656BC46" w14:textId="77777777" w:rsidR="00044BB1" w:rsidRPr="005F0AE0" w:rsidRDefault="00044BB1" w:rsidP="00412143">
      <w:pPr>
        <w:pStyle w:val="BodyText"/>
        <w:ind w:left="144"/>
        <w:jc w:val="both"/>
        <w:rPr>
          <w:rFonts w:asciiTheme="minorHAnsi" w:hAnsiTheme="minorHAnsi" w:cstheme="minorHAnsi"/>
          <w:sz w:val="21"/>
          <w:szCs w:val="21"/>
        </w:rPr>
      </w:pPr>
    </w:p>
    <w:p w14:paraId="68818C30" w14:textId="24192ABC" w:rsidR="00044BB1" w:rsidRPr="005F0AE0" w:rsidRDefault="00044BB1" w:rsidP="00412143">
      <w:pPr>
        <w:pStyle w:val="BodyText"/>
        <w:ind w:left="144"/>
        <w:jc w:val="both"/>
        <w:rPr>
          <w:rFonts w:asciiTheme="minorHAnsi" w:hAnsiTheme="minorHAnsi" w:cstheme="minorHAnsi"/>
          <w:sz w:val="21"/>
          <w:szCs w:val="21"/>
        </w:rPr>
      </w:pPr>
      <w:r w:rsidRPr="005F0AE0">
        <w:rPr>
          <w:rFonts w:asciiTheme="minorHAnsi" w:hAnsiTheme="minorHAnsi" w:cstheme="minorHAnsi"/>
          <w:sz w:val="21"/>
          <w:szCs w:val="21"/>
        </w:rPr>
        <w:t xml:space="preserve">This does not create a conflict of interest with, specifically, mutual fund transactions since all orders are traded for the same closing NAV price on the day of trade execution. All parties will receive the same execution pricing on these transactions.  Employees and members of the employee's household may desire to trade in the same securities that the firm is trading for our clients.  For more information regarding how </w:t>
      </w:r>
      <w:r w:rsidR="00B76E7E">
        <w:rPr>
          <w:rFonts w:asciiTheme="minorHAnsi" w:hAnsiTheme="minorHAnsi" w:cstheme="minorHAnsi"/>
          <w:sz w:val="21"/>
          <w:szCs w:val="21"/>
        </w:rPr>
        <w:t>T</w:t>
      </w:r>
      <w:r w:rsidR="0028253E">
        <w:rPr>
          <w:rFonts w:asciiTheme="minorHAnsi" w:hAnsiTheme="minorHAnsi" w:cstheme="minorHAnsi"/>
          <w:sz w:val="21"/>
          <w:szCs w:val="21"/>
        </w:rPr>
        <w:t>igress</w:t>
      </w:r>
      <w:r w:rsidRPr="005F0AE0">
        <w:rPr>
          <w:rFonts w:asciiTheme="minorHAnsi" w:hAnsiTheme="minorHAnsi" w:cstheme="minorHAnsi"/>
          <w:sz w:val="21"/>
          <w:szCs w:val="21"/>
        </w:rPr>
        <w:t xml:space="preserve"> minimizes or eliminates the possibility of a conflict of interest with recommendations, buys or sells of other securities (such as ETF's, equities, private placements, and IPO's), you may request a full copy of the </w:t>
      </w:r>
      <w:r w:rsidR="00811BAB">
        <w:rPr>
          <w:rFonts w:asciiTheme="minorHAnsi" w:hAnsiTheme="minorHAnsi" w:cstheme="minorHAnsi"/>
          <w:sz w:val="21"/>
          <w:szCs w:val="21"/>
        </w:rPr>
        <w:t>Tigress</w:t>
      </w:r>
      <w:r w:rsidR="0028253E">
        <w:rPr>
          <w:rFonts w:asciiTheme="minorHAnsi" w:hAnsiTheme="minorHAnsi" w:cstheme="minorHAnsi"/>
          <w:sz w:val="21"/>
          <w:szCs w:val="21"/>
        </w:rPr>
        <w:t>’</w:t>
      </w:r>
      <w:r w:rsidRPr="005F0AE0">
        <w:rPr>
          <w:rFonts w:asciiTheme="minorHAnsi" w:hAnsiTheme="minorHAnsi" w:cstheme="minorHAnsi"/>
          <w:sz w:val="21"/>
          <w:szCs w:val="21"/>
        </w:rPr>
        <w:t xml:space="preserve"> Code of Ethics.</w:t>
      </w:r>
    </w:p>
    <w:p w14:paraId="05CD4B5F" w14:textId="2FD13821" w:rsidR="00332AB1" w:rsidRPr="00651223" w:rsidRDefault="00332AB1" w:rsidP="00412143">
      <w:pPr>
        <w:pStyle w:val="BodyText"/>
        <w:ind w:left="144"/>
        <w:jc w:val="both"/>
        <w:rPr>
          <w:rFonts w:asciiTheme="minorHAnsi" w:hAnsiTheme="minorHAnsi" w:cstheme="minorHAnsi"/>
          <w:sz w:val="22"/>
          <w:szCs w:val="22"/>
        </w:rPr>
      </w:pPr>
    </w:p>
    <w:p w14:paraId="086321CF" w14:textId="7A8BA8BA" w:rsidR="00332AB1" w:rsidRPr="00332AB1" w:rsidRDefault="00332AB1" w:rsidP="00412143">
      <w:pPr>
        <w:pStyle w:val="BodyText"/>
        <w:ind w:left="144"/>
        <w:jc w:val="both"/>
        <w:rPr>
          <w:rFonts w:asciiTheme="minorHAnsi" w:hAnsiTheme="minorHAnsi" w:cstheme="minorHAnsi"/>
          <w:b/>
          <w:bCs/>
          <w:sz w:val="32"/>
          <w:szCs w:val="32"/>
        </w:rPr>
      </w:pPr>
      <w:r w:rsidRPr="00332AB1">
        <w:rPr>
          <w:rFonts w:asciiTheme="minorHAnsi" w:hAnsiTheme="minorHAnsi" w:cstheme="minorHAnsi"/>
          <w:b/>
          <w:bCs/>
          <w:sz w:val="32"/>
          <w:szCs w:val="32"/>
        </w:rPr>
        <w:t>Other Material Facts</w:t>
      </w:r>
    </w:p>
    <w:p w14:paraId="6E99826F" w14:textId="1A0DFC2A" w:rsidR="00332AB1" w:rsidRPr="005F0AE0" w:rsidRDefault="00332AB1" w:rsidP="00412143">
      <w:pPr>
        <w:pStyle w:val="BodyText"/>
        <w:ind w:left="144"/>
        <w:jc w:val="both"/>
        <w:rPr>
          <w:rFonts w:asciiTheme="minorHAnsi" w:hAnsiTheme="minorHAnsi" w:cstheme="minorHAnsi"/>
          <w:b/>
          <w:bCs/>
          <w:sz w:val="21"/>
          <w:szCs w:val="21"/>
        </w:rPr>
      </w:pPr>
      <w:r w:rsidRPr="005F0AE0">
        <w:rPr>
          <w:rFonts w:asciiTheme="minorHAnsi" w:hAnsiTheme="minorHAnsi" w:cstheme="minorHAnsi"/>
          <w:b/>
          <w:bCs/>
          <w:sz w:val="21"/>
          <w:szCs w:val="21"/>
        </w:rPr>
        <w:t>Disciplinary History</w:t>
      </w:r>
    </w:p>
    <w:p w14:paraId="0CB3ED36" w14:textId="19566F03" w:rsidR="00332AB1" w:rsidRPr="005F0AE0" w:rsidRDefault="00332AB1" w:rsidP="00332AB1">
      <w:pPr>
        <w:pStyle w:val="BodyText"/>
        <w:ind w:left="144"/>
        <w:jc w:val="both"/>
        <w:rPr>
          <w:rFonts w:asciiTheme="minorHAnsi" w:hAnsiTheme="minorHAnsi" w:cstheme="minorHAnsi"/>
          <w:sz w:val="21"/>
          <w:szCs w:val="21"/>
        </w:rPr>
      </w:pPr>
      <w:r w:rsidRPr="005F0AE0">
        <w:rPr>
          <w:rFonts w:asciiTheme="minorHAnsi" w:hAnsiTheme="minorHAnsi" w:cstheme="minorHAnsi"/>
          <w:sz w:val="21"/>
          <w:szCs w:val="21"/>
        </w:rPr>
        <w:t xml:space="preserve">There are no legal, </w:t>
      </w:r>
      <w:r w:rsidR="002A41EA" w:rsidRPr="005F0AE0">
        <w:rPr>
          <w:rFonts w:asciiTheme="minorHAnsi" w:hAnsiTheme="minorHAnsi" w:cstheme="minorHAnsi"/>
          <w:sz w:val="21"/>
          <w:szCs w:val="21"/>
        </w:rPr>
        <w:t>regulatory,</w:t>
      </w:r>
      <w:r w:rsidRPr="005F0AE0">
        <w:rPr>
          <w:rFonts w:asciiTheme="minorHAnsi" w:hAnsiTheme="minorHAnsi" w:cstheme="minorHAnsi"/>
          <w:sz w:val="21"/>
          <w:szCs w:val="21"/>
        </w:rPr>
        <w:t xml:space="preserve"> or disciplinary events involving </w:t>
      </w:r>
      <w:r w:rsidR="00811BAB">
        <w:rPr>
          <w:rFonts w:asciiTheme="minorHAnsi" w:hAnsiTheme="minorHAnsi" w:cstheme="minorHAnsi"/>
          <w:sz w:val="21"/>
          <w:szCs w:val="21"/>
        </w:rPr>
        <w:t>Tigress</w:t>
      </w:r>
      <w:r w:rsidR="00004BE7">
        <w:rPr>
          <w:rFonts w:asciiTheme="minorHAnsi" w:hAnsiTheme="minorHAnsi" w:cstheme="minorHAnsi"/>
          <w:sz w:val="21"/>
          <w:szCs w:val="21"/>
        </w:rPr>
        <w:t xml:space="preserve"> </w:t>
      </w:r>
      <w:r w:rsidRPr="005F0AE0">
        <w:rPr>
          <w:rFonts w:asciiTheme="minorHAnsi" w:hAnsiTheme="minorHAnsi" w:cstheme="minorHAnsi"/>
          <w:sz w:val="21"/>
          <w:szCs w:val="21"/>
        </w:rPr>
        <w:t xml:space="preserve">or any of its Supervised Persons. </w:t>
      </w:r>
      <w:r w:rsidR="00811BAB">
        <w:rPr>
          <w:rFonts w:asciiTheme="minorHAnsi" w:hAnsiTheme="minorHAnsi" w:cstheme="minorHAnsi"/>
          <w:sz w:val="21"/>
          <w:szCs w:val="21"/>
        </w:rPr>
        <w:t>Tigress</w:t>
      </w:r>
      <w:r w:rsidR="00004BE7">
        <w:rPr>
          <w:rFonts w:asciiTheme="minorHAnsi" w:hAnsiTheme="minorHAnsi" w:cstheme="minorHAnsi"/>
          <w:sz w:val="21"/>
          <w:szCs w:val="21"/>
        </w:rPr>
        <w:t xml:space="preserve"> </w:t>
      </w:r>
      <w:r w:rsidRPr="005F0AE0">
        <w:rPr>
          <w:rFonts w:asciiTheme="minorHAnsi" w:hAnsiTheme="minorHAnsi" w:cstheme="minorHAnsi"/>
          <w:sz w:val="21"/>
          <w:szCs w:val="21"/>
        </w:rPr>
        <w:t xml:space="preserve">values the trust you have placed in your Financial Professional and our firm. </w:t>
      </w:r>
      <w:r w:rsidR="00B76E7E">
        <w:rPr>
          <w:rFonts w:asciiTheme="minorHAnsi" w:hAnsiTheme="minorHAnsi" w:cstheme="minorHAnsi"/>
          <w:sz w:val="21"/>
          <w:szCs w:val="21"/>
        </w:rPr>
        <w:t>T</w:t>
      </w:r>
      <w:r w:rsidR="00004BE7">
        <w:rPr>
          <w:rFonts w:asciiTheme="minorHAnsi" w:hAnsiTheme="minorHAnsi" w:cstheme="minorHAnsi"/>
          <w:sz w:val="21"/>
          <w:szCs w:val="21"/>
        </w:rPr>
        <w:t>igress</w:t>
      </w:r>
      <w:r w:rsidRPr="005F0AE0">
        <w:rPr>
          <w:rFonts w:asciiTheme="minorHAnsi" w:hAnsiTheme="minorHAnsi" w:cstheme="minorHAnsi"/>
          <w:sz w:val="21"/>
          <w:szCs w:val="21"/>
        </w:rPr>
        <w:t xml:space="preserve"> Financial Professionals encourage you to perform the requisite due diligence on any registered representative or service provider you engage or work with on your investments. The background of your broker-dealer (</w:t>
      </w:r>
      <w:r w:rsidR="00B76E7E">
        <w:rPr>
          <w:rFonts w:asciiTheme="minorHAnsi" w:hAnsiTheme="minorHAnsi" w:cstheme="minorHAnsi"/>
          <w:sz w:val="21"/>
          <w:szCs w:val="21"/>
        </w:rPr>
        <w:t>T</w:t>
      </w:r>
      <w:r w:rsidR="00004BE7">
        <w:rPr>
          <w:rFonts w:asciiTheme="minorHAnsi" w:hAnsiTheme="minorHAnsi" w:cstheme="minorHAnsi"/>
          <w:sz w:val="21"/>
          <w:szCs w:val="21"/>
        </w:rPr>
        <w:t>igress</w:t>
      </w:r>
      <w:r w:rsidRPr="005F0AE0">
        <w:rPr>
          <w:rFonts w:asciiTheme="minorHAnsi" w:hAnsiTheme="minorHAnsi" w:cstheme="minorHAnsi"/>
          <w:sz w:val="21"/>
          <w:szCs w:val="21"/>
        </w:rPr>
        <w:t xml:space="preserve">) and your registered representative (i.e., Financial Professional) are available on the FINRA’s </w:t>
      </w:r>
      <w:proofErr w:type="spellStart"/>
      <w:r w:rsidRPr="005F0AE0">
        <w:rPr>
          <w:rFonts w:asciiTheme="minorHAnsi" w:hAnsiTheme="minorHAnsi" w:cstheme="minorHAnsi"/>
          <w:sz w:val="21"/>
          <w:szCs w:val="21"/>
        </w:rPr>
        <w:t>BrokerCheck</w:t>
      </w:r>
      <w:proofErr w:type="spellEnd"/>
      <w:r w:rsidRPr="005F0AE0">
        <w:rPr>
          <w:rFonts w:asciiTheme="minorHAnsi" w:hAnsiTheme="minorHAnsi" w:cstheme="minorHAnsi"/>
          <w:sz w:val="21"/>
          <w:szCs w:val="21"/>
        </w:rPr>
        <w:t xml:space="preserve"> </w:t>
      </w:r>
      <w:hyperlink r:id="rId12" w:history="1">
        <w:r w:rsidRPr="00FA0278">
          <w:rPr>
            <w:rFonts w:asciiTheme="minorHAnsi" w:hAnsiTheme="minorHAnsi" w:cstheme="minorHAnsi"/>
            <w:color w:val="0000FF"/>
            <w:sz w:val="21"/>
            <w:szCs w:val="21"/>
            <w:u w:val="single"/>
          </w:rPr>
          <w:t>https://brokercheck.finra.org/</w:t>
        </w:r>
      </w:hyperlink>
      <w:r w:rsidRPr="005F0AE0">
        <w:rPr>
          <w:rFonts w:asciiTheme="minorHAnsi" w:hAnsiTheme="minorHAnsi" w:cstheme="minorHAnsi"/>
          <w:sz w:val="21"/>
          <w:szCs w:val="21"/>
        </w:rPr>
        <w:t xml:space="preserve">  by searching with your registered representative’s name and/or </w:t>
      </w:r>
      <w:r w:rsidR="00811BAB">
        <w:rPr>
          <w:rFonts w:asciiTheme="minorHAnsi" w:hAnsiTheme="minorHAnsi" w:cstheme="minorHAnsi"/>
          <w:sz w:val="21"/>
          <w:szCs w:val="21"/>
        </w:rPr>
        <w:t>Tigress</w:t>
      </w:r>
      <w:r w:rsidRPr="005F0AE0">
        <w:rPr>
          <w:rFonts w:asciiTheme="minorHAnsi" w:hAnsiTheme="minorHAnsi" w:cstheme="minorHAnsi"/>
          <w:sz w:val="21"/>
          <w:szCs w:val="21"/>
        </w:rPr>
        <w:t xml:space="preserve"> firm name or our CRD #147529.</w:t>
      </w:r>
    </w:p>
    <w:p w14:paraId="6D9FE61D" w14:textId="77777777" w:rsidR="00332AB1" w:rsidRPr="005F0AE0" w:rsidRDefault="00332AB1" w:rsidP="00332AB1">
      <w:pPr>
        <w:pStyle w:val="BodyText"/>
        <w:ind w:left="144"/>
        <w:jc w:val="both"/>
        <w:rPr>
          <w:rFonts w:asciiTheme="minorHAnsi" w:hAnsiTheme="minorHAnsi" w:cstheme="minorHAnsi"/>
          <w:sz w:val="21"/>
          <w:szCs w:val="21"/>
        </w:rPr>
      </w:pPr>
    </w:p>
    <w:p w14:paraId="2A4BDAE7" w14:textId="4331D7E5" w:rsidR="00332AB1" w:rsidRPr="005F0AE0" w:rsidRDefault="00332AB1" w:rsidP="00332AB1">
      <w:pPr>
        <w:pStyle w:val="BodyText"/>
        <w:ind w:left="144"/>
        <w:jc w:val="both"/>
        <w:rPr>
          <w:rFonts w:asciiTheme="minorHAnsi" w:hAnsiTheme="minorHAnsi" w:cstheme="minorHAnsi"/>
          <w:sz w:val="21"/>
          <w:szCs w:val="21"/>
        </w:rPr>
      </w:pPr>
      <w:bookmarkStart w:id="18" w:name="_Hlk42783970"/>
      <w:r w:rsidRPr="005F0AE0">
        <w:rPr>
          <w:rFonts w:asciiTheme="minorHAnsi" w:hAnsiTheme="minorHAnsi" w:cstheme="minorHAnsi"/>
          <w:sz w:val="21"/>
          <w:szCs w:val="21"/>
        </w:rPr>
        <w:t>For more information on our broker-dealer, including disciplinary history you may visit:</w:t>
      </w:r>
    </w:p>
    <w:bookmarkEnd w:id="18"/>
    <w:p w14:paraId="3B1986D7" w14:textId="01A29095" w:rsidR="00332AB1" w:rsidRPr="005F0AE0" w:rsidRDefault="009F0E13" w:rsidP="00332AB1">
      <w:pPr>
        <w:pStyle w:val="BodyText"/>
        <w:ind w:left="144"/>
        <w:jc w:val="both"/>
        <w:rPr>
          <w:rFonts w:asciiTheme="minorHAnsi" w:hAnsiTheme="minorHAnsi" w:cstheme="minorHAnsi"/>
          <w:sz w:val="21"/>
          <w:szCs w:val="21"/>
        </w:rPr>
      </w:pPr>
      <w:r>
        <w:rPr>
          <w:rFonts w:asciiTheme="minorHAnsi" w:hAnsiTheme="minorHAnsi" w:cstheme="minorHAnsi"/>
          <w:sz w:val="21"/>
          <w:szCs w:val="21"/>
        </w:rPr>
        <w:fldChar w:fldCharType="begin"/>
      </w:r>
      <w:r>
        <w:rPr>
          <w:rFonts w:asciiTheme="minorHAnsi" w:hAnsiTheme="minorHAnsi" w:cstheme="minorHAnsi"/>
          <w:sz w:val="21"/>
          <w:szCs w:val="21"/>
        </w:rPr>
        <w:instrText xml:space="preserve"> HYPERLINK "</w:instrText>
      </w:r>
      <w:r w:rsidRPr="009F0E13">
        <w:rPr>
          <w:rFonts w:asciiTheme="minorHAnsi" w:hAnsiTheme="minorHAnsi" w:cstheme="minorHAnsi"/>
          <w:sz w:val="21"/>
          <w:szCs w:val="21"/>
        </w:rPr>
        <w:instrText>https://brokercheck.finra.org/firm/summary/154717</w:instrText>
      </w:r>
      <w:r>
        <w:rPr>
          <w:rFonts w:asciiTheme="minorHAnsi" w:hAnsiTheme="minorHAnsi" w:cstheme="minorHAnsi"/>
          <w:sz w:val="21"/>
          <w:szCs w:val="21"/>
        </w:rPr>
        <w:instrText xml:space="preserve">" </w:instrText>
      </w:r>
      <w:r>
        <w:rPr>
          <w:rFonts w:asciiTheme="minorHAnsi" w:hAnsiTheme="minorHAnsi" w:cstheme="minorHAnsi"/>
          <w:sz w:val="21"/>
          <w:szCs w:val="21"/>
        </w:rPr>
        <w:fldChar w:fldCharType="separate"/>
      </w:r>
      <w:r w:rsidRPr="0038146C">
        <w:rPr>
          <w:rStyle w:val="Hyperlink"/>
          <w:rFonts w:asciiTheme="minorHAnsi" w:hAnsiTheme="minorHAnsi" w:cstheme="minorHAnsi"/>
          <w:sz w:val="21"/>
          <w:szCs w:val="21"/>
        </w:rPr>
        <w:t>https://brokercheck.finra.org/firm/summary/154717</w:t>
      </w:r>
      <w:r>
        <w:rPr>
          <w:rFonts w:asciiTheme="minorHAnsi" w:hAnsiTheme="minorHAnsi" w:cstheme="minorHAnsi"/>
          <w:sz w:val="21"/>
          <w:szCs w:val="21"/>
        </w:rPr>
        <w:fldChar w:fldCharType="end"/>
      </w:r>
      <w:commentRangeStart w:id="19"/>
      <w:r w:rsidR="00332AB1" w:rsidRPr="005F0AE0">
        <w:rPr>
          <w:rFonts w:asciiTheme="minorHAnsi" w:hAnsiTheme="minorHAnsi" w:cstheme="minorHAnsi"/>
          <w:sz w:val="21"/>
          <w:szCs w:val="21"/>
        </w:rPr>
        <w:t xml:space="preserve"> </w:t>
      </w:r>
      <w:commentRangeEnd w:id="19"/>
      <w:r w:rsidR="00004BE7">
        <w:rPr>
          <w:rStyle w:val="CommentReference"/>
        </w:rPr>
        <w:commentReference w:id="19"/>
      </w:r>
    </w:p>
    <w:p w14:paraId="5D56C56A" w14:textId="77777777" w:rsidR="00332AB1" w:rsidRPr="005F0AE0" w:rsidRDefault="00332AB1" w:rsidP="00332AB1">
      <w:pPr>
        <w:pStyle w:val="BodyText"/>
        <w:ind w:left="144"/>
        <w:jc w:val="both"/>
        <w:rPr>
          <w:rFonts w:asciiTheme="minorHAnsi" w:hAnsiTheme="minorHAnsi" w:cstheme="minorHAnsi"/>
          <w:sz w:val="21"/>
          <w:szCs w:val="21"/>
        </w:rPr>
      </w:pPr>
    </w:p>
    <w:p w14:paraId="64E04F25" w14:textId="4FF6B1B8" w:rsidR="00332AB1" w:rsidRPr="005F0AE0" w:rsidRDefault="00332AB1" w:rsidP="00332AB1">
      <w:pPr>
        <w:pStyle w:val="BodyText"/>
        <w:ind w:left="144"/>
        <w:jc w:val="both"/>
        <w:rPr>
          <w:rFonts w:asciiTheme="minorHAnsi" w:hAnsiTheme="minorHAnsi" w:cstheme="minorHAnsi"/>
          <w:sz w:val="21"/>
          <w:szCs w:val="21"/>
        </w:rPr>
      </w:pPr>
      <w:bookmarkStart w:id="20" w:name="_Hlk42784039"/>
      <w:r w:rsidRPr="005F0AE0">
        <w:rPr>
          <w:rFonts w:asciiTheme="minorHAnsi" w:hAnsiTheme="minorHAnsi" w:cstheme="minorHAnsi"/>
          <w:sz w:val="21"/>
          <w:szCs w:val="21"/>
        </w:rPr>
        <w:t>For more information on our Registered Investment Adviser arm you may visit:</w:t>
      </w:r>
    </w:p>
    <w:bookmarkEnd w:id="20"/>
    <w:p w14:paraId="0C491DE7" w14:textId="1DAE16D1" w:rsidR="00332AB1" w:rsidRPr="005F0AE0" w:rsidRDefault="009F0E13" w:rsidP="00332AB1">
      <w:pPr>
        <w:pStyle w:val="BodyText"/>
        <w:ind w:left="144"/>
        <w:jc w:val="both"/>
        <w:rPr>
          <w:rFonts w:asciiTheme="minorHAnsi" w:hAnsiTheme="minorHAnsi" w:cstheme="minorHAnsi"/>
          <w:sz w:val="21"/>
          <w:szCs w:val="21"/>
        </w:rPr>
      </w:pPr>
      <w:r>
        <w:rPr>
          <w:rFonts w:asciiTheme="minorHAnsi" w:hAnsiTheme="minorHAnsi" w:cstheme="minorHAnsi"/>
          <w:sz w:val="21"/>
          <w:szCs w:val="21"/>
        </w:rPr>
        <w:fldChar w:fldCharType="begin"/>
      </w:r>
      <w:r>
        <w:rPr>
          <w:rFonts w:asciiTheme="minorHAnsi" w:hAnsiTheme="minorHAnsi" w:cstheme="minorHAnsi"/>
          <w:sz w:val="21"/>
          <w:szCs w:val="21"/>
        </w:rPr>
        <w:instrText xml:space="preserve"> HYPERLINK "</w:instrText>
      </w:r>
      <w:r w:rsidRPr="009F0E13">
        <w:rPr>
          <w:rFonts w:asciiTheme="minorHAnsi" w:hAnsiTheme="minorHAnsi" w:cstheme="minorHAnsi"/>
          <w:sz w:val="21"/>
          <w:szCs w:val="21"/>
        </w:rPr>
        <w:instrText>https://adviserinfo.sec.gov/firm/summary/154</w:instrText>
      </w:r>
      <w:r>
        <w:rPr>
          <w:rFonts w:asciiTheme="minorHAnsi" w:hAnsiTheme="minorHAnsi" w:cstheme="minorHAnsi"/>
          <w:sz w:val="21"/>
          <w:szCs w:val="21"/>
        </w:rPr>
        <w:instrText xml:space="preserve">" </w:instrText>
      </w:r>
      <w:r>
        <w:rPr>
          <w:rFonts w:asciiTheme="minorHAnsi" w:hAnsiTheme="minorHAnsi" w:cstheme="minorHAnsi"/>
          <w:sz w:val="21"/>
          <w:szCs w:val="21"/>
        </w:rPr>
        <w:fldChar w:fldCharType="separate"/>
      </w:r>
      <w:r w:rsidRPr="0038146C">
        <w:rPr>
          <w:rStyle w:val="Hyperlink"/>
          <w:rFonts w:asciiTheme="minorHAnsi" w:hAnsiTheme="minorHAnsi" w:cstheme="minorHAnsi"/>
          <w:sz w:val="21"/>
          <w:szCs w:val="21"/>
        </w:rPr>
        <w:t>https://adviserinfo.sec.gov/firm/summary/154</w:t>
      </w:r>
      <w:r>
        <w:rPr>
          <w:rFonts w:asciiTheme="minorHAnsi" w:hAnsiTheme="minorHAnsi" w:cstheme="minorHAnsi"/>
          <w:sz w:val="21"/>
          <w:szCs w:val="21"/>
        </w:rPr>
        <w:fldChar w:fldCharType="end"/>
      </w:r>
      <w:commentRangeStart w:id="21"/>
      <w:r>
        <w:rPr>
          <w:rStyle w:val="Hyperlink"/>
          <w:rFonts w:asciiTheme="minorHAnsi" w:hAnsiTheme="minorHAnsi" w:cstheme="minorHAnsi"/>
          <w:sz w:val="21"/>
          <w:szCs w:val="21"/>
        </w:rPr>
        <w:t>717</w:t>
      </w:r>
      <w:r w:rsidR="00332AB1" w:rsidRPr="005F0AE0">
        <w:rPr>
          <w:rFonts w:asciiTheme="minorHAnsi" w:hAnsiTheme="minorHAnsi" w:cstheme="minorHAnsi"/>
          <w:sz w:val="21"/>
          <w:szCs w:val="21"/>
        </w:rPr>
        <w:t xml:space="preserve"> </w:t>
      </w:r>
      <w:commentRangeEnd w:id="21"/>
      <w:r w:rsidR="00004BE7">
        <w:rPr>
          <w:rStyle w:val="CommentReference"/>
        </w:rPr>
        <w:commentReference w:id="21"/>
      </w:r>
    </w:p>
    <w:p w14:paraId="481A78B7" w14:textId="4EC0D369" w:rsidR="00EE4C5D" w:rsidRDefault="00EE4C5D" w:rsidP="00412143">
      <w:pPr>
        <w:widowControl/>
        <w:adjustRightInd w:val="0"/>
        <w:ind w:left="144"/>
        <w:rPr>
          <w:rFonts w:asciiTheme="minorHAnsi" w:eastAsiaTheme="minorHAnsi" w:hAnsiTheme="minorHAnsi" w:cstheme="minorHAnsi"/>
          <w:color w:val="FF0000"/>
          <w:sz w:val="24"/>
          <w:szCs w:val="24"/>
        </w:rPr>
      </w:pPr>
    </w:p>
    <w:p w14:paraId="5C4345D9" w14:textId="758141B5" w:rsidR="00AB4D79" w:rsidRPr="00332AB1" w:rsidRDefault="002F0A55" w:rsidP="00332AB1">
      <w:pPr>
        <w:pStyle w:val="Heading1"/>
        <w:ind w:left="144"/>
        <w:rPr>
          <w:rFonts w:asciiTheme="minorHAnsi" w:hAnsiTheme="minorHAnsi" w:cstheme="minorHAnsi"/>
          <w:sz w:val="32"/>
          <w:szCs w:val="32"/>
          <w:u w:val="none"/>
        </w:rPr>
      </w:pPr>
      <w:bookmarkStart w:id="22" w:name="_Toc38290475"/>
      <w:r w:rsidRPr="00332AB1">
        <w:rPr>
          <w:rFonts w:asciiTheme="minorHAnsi" w:hAnsiTheme="minorHAnsi" w:cstheme="minorHAnsi"/>
          <w:sz w:val="32"/>
          <w:szCs w:val="32"/>
          <w:u w:val="none"/>
        </w:rPr>
        <w:t>Additional Resources</w:t>
      </w:r>
      <w:bookmarkEnd w:id="22"/>
    </w:p>
    <w:p w14:paraId="6EE0267B" w14:textId="109ECFF7" w:rsidR="00CA4A2E" w:rsidRPr="00FA0278" w:rsidRDefault="00CA4A2E" w:rsidP="00412143">
      <w:pPr>
        <w:pStyle w:val="Heading1"/>
        <w:ind w:left="144"/>
        <w:rPr>
          <w:rFonts w:asciiTheme="minorHAnsi" w:hAnsiTheme="minorHAnsi" w:cstheme="minorHAnsi"/>
          <w:b w:val="0"/>
          <w:bCs w:val="0"/>
          <w:sz w:val="21"/>
          <w:szCs w:val="21"/>
          <w:u w:val="none"/>
        </w:rPr>
      </w:pPr>
      <w:r w:rsidRPr="00FA0278">
        <w:rPr>
          <w:rFonts w:asciiTheme="minorHAnsi" w:hAnsiTheme="minorHAnsi" w:cstheme="minorHAnsi"/>
          <w:b w:val="0"/>
          <w:bCs w:val="0"/>
          <w:sz w:val="21"/>
          <w:szCs w:val="21"/>
          <w:u w:val="none"/>
        </w:rPr>
        <w:t>For additional information related to our Form CRS, Margin Disclosure, Cash Sweep Program, Legal Disclosures and more, please refer to</w:t>
      </w:r>
      <w:r w:rsidR="005575ED" w:rsidRPr="00FA0278">
        <w:rPr>
          <w:rFonts w:asciiTheme="minorHAnsi" w:hAnsiTheme="minorHAnsi" w:cstheme="minorHAnsi"/>
          <w:b w:val="0"/>
          <w:bCs w:val="0"/>
          <w:sz w:val="21"/>
          <w:szCs w:val="21"/>
          <w:u w:val="none"/>
        </w:rPr>
        <w:t xml:space="preserve"> your account opening paperwork and/or ask your Financial Professional. We, at </w:t>
      </w:r>
      <w:r w:rsidR="00811BAB">
        <w:rPr>
          <w:rFonts w:asciiTheme="minorHAnsi" w:hAnsiTheme="minorHAnsi" w:cstheme="minorHAnsi"/>
          <w:b w:val="0"/>
          <w:bCs w:val="0"/>
          <w:sz w:val="21"/>
          <w:szCs w:val="21"/>
          <w:u w:val="none"/>
        </w:rPr>
        <w:t>Tigress</w:t>
      </w:r>
      <w:r w:rsidR="005575ED" w:rsidRPr="00FA0278">
        <w:rPr>
          <w:rFonts w:asciiTheme="minorHAnsi" w:hAnsiTheme="minorHAnsi" w:cstheme="minorHAnsi"/>
          <w:b w:val="0"/>
          <w:bCs w:val="0"/>
          <w:sz w:val="21"/>
          <w:szCs w:val="21"/>
          <w:u w:val="none"/>
        </w:rPr>
        <w:t xml:space="preserve"> are always happy to answer your questions, provide information or provide duplicate copies of documents upon request.</w:t>
      </w:r>
    </w:p>
    <w:sectPr w:rsidR="00CA4A2E" w:rsidRPr="00FA0278" w:rsidSect="00C05B84">
      <w:headerReference w:type="default" r:id="rId13"/>
      <w:footerReference w:type="default" r:id="rId14"/>
      <w:footerReference w:type="first" r:id="rId15"/>
      <w:type w:val="continuous"/>
      <w:pgSz w:w="12240" w:h="15840"/>
      <w:pgMar w:top="1440" w:right="1440" w:bottom="1440" w:left="1440" w:header="720" w:footer="139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pallante" w:date="2020-06-25T13:07:00Z" w:initials="n">
    <w:p w14:paraId="145FA570" w14:textId="28A83BEE" w:rsidR="00B76E7E" w:rsidRDefault="00B76E7E">
      <w:pPr>
        <w:pStyle w:val="CommentText"/>
      </w:pPr>
      <w:r>
        <w:rPr>
          <w:rStyle w:val="CommentReference"/>
        </w:rPr>
        <w:annotationRef/>
      </w:r>
      <w:r>
        <w:t>We need to have a link for the Form CRS.</w:t>
      </w:r>
      <w:r w:rsidR="009F0E13">
        <w:t xml:space="preserve"> Place Holder.</w:t>
      </w:r>
    </w:p>
  </w:comment>
  <w:comment w:id="2" w:author="npallante" w:date="2020-06-25T13:16:00Z" w:initials="n">
    <w:p w14:paraId="0FE19807" w14:textId="0F4247DF" w:rsidR="00B76E7E" w:rsidRDefault="00B76E7E">
      <w:pPr>
        <w:pStyle w:val="CommentText"/>
      </w:pPr>
      <w:r>
        <w:rPr>
          <w:rStyle w:val="CommentReference"/>
        </w:rPr>
        <w:annotationRef/>
      </w:r>
      <w:r>
        <w:t xml:space="preserve">Cynthia </w:t>
      </w:r>
      <w:r w:rsidR="009F0E13">
        <w:t xml:space="preserve">please include additional </w:t>
      </w:r>
      <w:r>
        <w:t>mutual fund companies.</w:t>
      </w:r>
    </w:p>
  </w:comment>
  <w:comment w:id="3" w:author="npallante" w:date="2020-06-25T13:09:00Z" w:initials="n">
    <w:p w14:paraId="36EB7DEE" w14:textId="3665021D" w:rsidR="00B76E7E" w:rsidRDefault="00B76E7E">
      <w:pPr>
        <w:pStyle w:val="CommentText"/>
      </w:pPr>
      <w:r>
        <w:rPr>
          <w:rStyle w:val="CommentReference"/>
        </w:rPr>
        <w:annotationRef/>
      </w:r>
      <w:r>
        <w:t>Need a link for Tigress</w:t>
      </w:r>
      <w:r w:rsidR="009F0E13">
        <w:t xml:space="preserve"> – place holder.</w:t>
      </w:r>
    </w:p>
  </w:comment>
  <w:comment w:id="6" w:author="npallante" w:date="2020-06-25T13:20:00Z" w:initials="n">
    <w:p w14:paraId="798DF651" w14:textId="5CD02B89" w:rsidR="00811BAB" w:rsidRDefault="00811BAB">
      <w:pPr>
        <w:pStyle w:val="CommentText"/>
      </w:pPr>
      <w:r>
        <w:rPr>
          <w:rStyle w:val="CommentReference"/>
        </w:rPr>
        <w:annotationRef/>
      </w:r>
      <w:r>
        <w:t xml:space="preserve">Cynthia do we have a link to this. </w:t>
      </w:r>
    </w:p>
  </w:comment>
  <w:comment w:id="8" w:author="npallante" w:date="2020-06-25T14:47:00Z" w:initials="n">
    <w:p w14:paraId="7BDC11E0" w14:textId="39FCBC05" w:rsidR="00562890" w:rsidRDefault="00562890">
      <w:pPr>
        <w:pStyle w:val="CommentText"/>
      </w:pPr>
      <w:r>
        <w:rPr>
          <w:rStyle w:val="CommentReference"/>
        </w:rPr>
        <w:annotationRef/>
      </w:r>
      <w:r>
        <w:t xml:space="preserve">Cynthia I put all the business lines that Tigress has been approved by FINRA in the Membership Agreement and outlined in the procedures.  Please review for accuracy. </w:t>
      </w:r>
    </w:p>
  </w:comment>
  <w:comment w:id="10" w:author="npallante" w:date="2020-06-25T14:49:00Z" w:initials="n">
    <w:p w14:paraId="055134AD" w14:textId="567FD174" w:rsidR="0028253E" w:rsidRDefault="0028253E">
      <w:pPr>
        <w:pStyle w:val="CommentText"/>
      </w:pPr>
      <w:r>
        <w:rPr>
          <w:rStyle w:val="CommentReference"/>
        </w:rPr>
        <w:annotationRef/>
      </w:r>
      <w:r>
        <w:t xml:space="preserve">Cynthia please review the brokerage fees for each business to ensure your exact fees are disclosed. </w:t>
      </w:r>
    </w:p>
  </w:comment>
  <w:comment w:id="19" w:author="npallante" w:date="2020-06-25T15:04:00Z" w:initials="n">
    <w:p w14:paraId="23ED8EFF" w14:textId="478F2560" w:rsidR="00004BE7" w:rsidRDefault="00004BE7">
      <w:pPr>
        <w:pStyle w:val="CommentText"/>
      </w:pPr>
      <w:r>
        <w:rPr>
          <w:rStyle w:val="CommentReference"/>
        </w:rPr>
        <w:annotationRef/>
      </w:r>
      <w:r>
        <w:t>Cynthia you need to include your link.</w:t>
      </w:r>
    </w:p>
  </w:comment>
  <w:comment w:id="21" w:author="npallante" w:date="2020-06-25T15:04:00Z" w:initials="n">
    <w:p w14:paraId="5999B3DB" w14:textId="549E03CA" w:rsidR="00004BE7" w:rsidRDefault="00004BE7">
      <w:pPr>
        <w:pStyle w:val="CommentText"/>
      </w:pPr>
      <w:r>
        <w:rPr>
          <w:rStyle w:val="CommentReference"/>
        </w:rPr>
        <w:annotationRef/>
      </w:r>
      <w:r>
        <w:t>Cynthia you need to include your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5FA570" w15:done="0"/>
  <w15:commentEx w15:paraId="0FE19807" w15:done="0"/>
  <w15:commentEx w15:paraId="36EB7DEE" w15:done="0"/>
  <w15:commentEx w15:paraId="798DF651" w15:done="0"/>
  <w15:commentEx w15:paraId="7BDC11E0" w15:done="0"/>
  <w15:commentEx w15:paraId="055134AD" w15:done="0"/>
  <w15:commentEx w15:paraId="23ED8EFF" w15:done="0"/>
  <w15:commentEx w15:paraId="5999B3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5FA570" w16cid:durableId="22A3631D"/>
  <w16cid:commentId w16cid:paraId="0FE19807" w16cid:durableId="22A3631E"/>
  <w16cid:commentId w16cid:paraId="36EB7DEE" w16cid:durableId="22A3631F"/>
  <w16cid:commentId w16cid:paraId="798DF651" w16cid:durableId="22A36320"/>
  <w16cid:commentId w16cid:paraId="7BDC11E0" w16cid:durableId="22A36321"/>
  <w16cid:commentId w16cid:paraId="055134AD" w16cid:durableId="22A36322"/>
  <w16cid:commentId w16cid:paraId="23ED8EFF" w16cid:durableId="22A36323"/>
  <w16cid:commentId w16cid:paraId="5999B3DB" w16cid:durableId="22A363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95C64" w14:textId="77777777" w:rsidR="00644FF9" w:rsidRDefault="00644FF9">
      <w:r>
        <w:separator/>
      </w:r>
    </w:p>
  </w:endnote>
  <w:endnote w:type="continuationSeparator" w:id="0">
    <w:p w14:paraId="401341A3" w14:textId="77777777" w:rsidR="00644FF9" w:rsidRDefault="0064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altName w:val="Calibri"/>
    <w:panose1 w:val="020B0604020202020204"/>
    <w:charset w:val="00"/>
    <w:family w:val="modern"/>
    <w:notTrueType/>
    <w:pitch w:val="variable"/>
    <w:sig w:usb0="00000001" w:usb1="4000004A" w:usb2="00000000" w:usb3="00000000" w:csb0="0000008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DF65" w14:textId="0F088E7A" w:rsidR="00B76E7E" w:rsidRDefault="00B76E7E" w:rsidP="002E1126">
    <w:pPr>
      <w:pStyle w:val="Footer"/>
    </w:pPr>
    <w:r>
      <w:tab/>
    </w:r>
    <w:r>
      <w:tab/>
    </w:r>
    <w:r>
      <w:tab/>
    </w:r>
    <w:sdt>
      <w:sdtPr>
        <w:id w:val="-12607541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082D">
          <w:rPr>
            <w:noProof/>
          </w:rPr>
          <w:t>7</w:t>
        </w:r>
        <w:r>
          <w:rPr>
            <w:noProof/>
          </w:rPr>
          <w:fldChar w:fldCharType="end"/>
        </w:r>
      </w:sdtContent>
    </w:sdt>
  </w:p>
  <w:p w14:paraId="2EA40C6B" w14:textId="77777777" w:rsidR="00B76E7E" w:rsidRDefault="00B76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409359"/>
      <w:docPartObj>
        <w:docPartGallery w:val="Page Numbers (Bottom of Page)"/>
        <w:docPartUnique/>
      </w:docPartObj>
    </w:sdtPr>
    <w:sdtEndPr>
      <w:rPr>
        <w:noProof/>
      </w:rPr>
    </w:sdtEndPr>
    <w:sdtContent>
      <w:p w14:paraId="4D0E9718" w14:textId="24EC6895" w:rsidR="00B76E7E" w:rsidRPr="003D76F2" w:rsidRDefault="00B76E7E" w:rsidP="00600757">
        <w:pPr>
          <w:widowControl/>
          <w:adjustRightInd w:val="0"/>
          <w:rPr>
            <w:rFonts w:ascii="Georgia" w:hAnsi="Georgia"/>
            <w:b/>
            <w:sz w:val="12"/>
            <w:szCs w:val="12"/>
          </w:rPr>
        </w:pPr>
        <w:r>
          <w:rPr>
            <w:rFonts w:ascii="Georgia" w:eastAsiaTheme="minorHAnsi" w:hAnsi="Georgia" w:cs="Georgia"/>
            <w:color w:val="000000"/>
            <w:sz w:val="12"/>
            <w:szCs w:val="12"/>
          </w:rPr>
          <w:t xml:space="preserve"> </w:t>
        </w:r>
      </w:p>
      <w:p w14:paraId="43C74A56" w14:textId="77777777" w:rsidR="00B76E7E" w:rsidRDefault="00644FF9">
        <w:pPr>
          <w:pStyle w:val="Footer"/>
          <w:jc w:val="center"/>
        </w:pPr>
      </w:p>
    </w:sdtContent>
  </w:sdt>
  <w:p w14:paraId="4F7B9E2E" w14:textId="77777777" w:rsidR="00B76E7E" w:rsidRDefault="00B7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A374F" w14:textId="77777777" w:rsidR="00644FF9" w:rsidRDefault="00644FF9">
      <w:r>
        <w:separator/>
      </w:r>
    </w:p>
  </w:footnote>
  <w:footnote w:type="continuationSeparator" w:id="0">
    <w:p w14:paraId="39FE3A47" w14:textId="77777777" w:rsidR="00644FF9" w:rsidRDefault="00644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4EE4" w14:textId="0E076931" w:rsidR="00B76E7E" w:rsidRPr="008A2ACA" w:rsidRDefault="00B76E7E" w:rsidP="008A2ACA">
    <w:pPr>
      <w:pStyle w:val="Header"/>
      <w:rPr>
        <w:rFonts w:ascii="Georgia" w:hAnsi="Georgia"/>
        <w:sz w:val="20"/>
        <w:szCs w:val="20"/>
      </w:rPr>
    </w:pPr>
    <w:r w:rsidRPr="008A2ACA">
      <w:rPr>
        <w:rFonts w:ascii="Georgia" w:hAnsi="Georg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000402"/>
    <w:multiLevelType w:val="multilevel"/>
    <w:tmpl w:val="00000885"/>
    <w:lvl w:ilvl="0">
      <w:numFmt w:val="bullet"/>
      <w:lvlText w:val="•"/>
      <w:lvlJc w:val="left"/>
      <w:pPr>
        <w:ind w:left="138" w:hanging="139"/>
      </w:pPr>
      <w:rPr>
        <w:rFonts w:ascii="Book Antiqua" w:hAnsi="Book Antiqua" w:cs="Book Antiqua"/>
        <w:b w:val="0"/>
        <w:bCs w:val="0"/>
        <w:color w:val="231F20"/>
        <w:w w:val="43"/>
        <w:sz w:val="20"/>
        <w:szCs w:val="20"/>
      </w:rPr>
    </w:lvl>
    <w:lvl w:ilvl="1">
      <w:numFmt w:val="bullet"/>
      <w:lvlText w:val="•"/>
      <w:lvlJc w:val="left"/>
      <w:pPr>
        <w:ind w:left="670" w:hanging="139"/>
      </w:pPr>
    </w:lvl>
    <w:lvl w:ilvl="2">
      <w:numFmt w:val="bullet"/>
      <w:lvlText w:val="•"/>
      <w:lvlJc w:val="left"/>
      <w:pPr>
        <w:ind w:left="1201" w:hanging="139"/>
      </w:pPr>
    </w:lvl>
    <w:lvl w:ilvl="3">
      <w:numFmt w:val="bullet"/>
      <w:lvlText w:val="•"/>
      <w:lvlJc w:val="left"/>
      <w:pPr>
        <w:ind w:left="1732" w:hanging="139"/>
      </w:pPr>
    </w:lvl>
    <w:lvl w:ilvl="4">
      <w:numFmt w:val="bullet"/>
      <w:lvlText w:val="•"/>
      <w:lvlJc w:val="left"/>
      <w:pPr>
        <w:ind w:left="2263" w:hanging="139"/>
      </w:pPr>
    </w:lvl>
    <w:lvl w:ilvl="5">
      <w:numFmt w:val="bullet"/>
      <w:lvlText w:val="•"/>
      <w:lvlJc w:val="left"/>
      <w:pPr>
        <w:ind w:left="2794" w:hanging="139"/>
      </w:pPr>
    </w:lvl>
    <w:lvl w:ilvl="6">
      <w:numFmt w:val="bullet"/>
      <w:lvlText w:val="•"/>
      <w:lvlJc w:val="left"/>
      <w:pPr>
        <w:ind w:left="3325" w:hanging="139"/>
      </w:pPr>
    </w:lvl>
    <w:lvl w:ilvl="7">
      <w:numFmt w:val="bullet"/>
      <w:lvlText w:val="•"/>
      <w:lvlJc w:val="left"/>
      <w:pPr>
        <w:ind w:left="3856" w:hanging="139"/>
      </w:pPr>
    </w:lvl>
    <w:lvl w:ilvl="8">
      <w:numFmt w:val="bullet"/>
      <w:lvlText w:val="•"/>
      <w:lvlJc w:val="left"/>
      <w:pPr>
        <w:ind w:left="4386" w:hanging="139"/>
      </w:pPr>
    </w:lvl>
  </w:abstractNum>
  <w:abstractNum w:abstractNumId="1" w15:restartNumberingAfterBreak="0">
    <w:nsid w:val="00000403"/>
    <w:multiLevelType w:val="multilevel"/>
    <w:tmpl w:val="00000886"/>
    <w:lvl w:ilvl="0">
      <w:numFmt w:val="bullet"/>
      <w:lvlText w:val=""/>
      <w:lvlJc w:val="left"/>
      <w:pPr>
        <w:ind w:left="268" w:hanging="114"/>
      </w:pPr>
      <w:rPr>
        <w:rFonts w:ascii="Wingdings" w:hAnsi="Wingdings" w:cs="Wingdings"/>
        <w:b w:val="0"/>
        <w:bCs w:val="0"/>
        <w:color w:val="231F20"/>
        <w:w w:val="100"/>
        <w:sz w:val="19"/>
        <w:szCs w:val="19"/>
      </w:rPr>
    </w:lvl>
    <w:lvl w:ilvl="1">
      <w:numFmt w:val="bullet"/>
      <w:lvlText w:val="•"/>
      <w:lvlJc w:val="left"/>
      <w:pPr>
        <w:ind w:left="851" w:hanging="114"/>
      </w:pPr>
    </w:lvl>
    <w:lvl w:ilvl="2">
      <w:numFmt w:val="bullet"/>
      <w:lvlText w:val="•"/>
      <w:lvlJc w:val="left"/>
      <w:pPr>
        <w:ind w:left="1442" w:hanging="114"/>
      </w:pPr>
    </w:lvl>
    <w:lvl w:ilvl="3">
      <w:numFmt w:val="bullet"/>
      <w:lvlText w:val="•"/>
      <w:lvlJc w:val="left"/>
      <w:pPr>
        <w:ind w:left="2034" w:hanging="114"/>
      </w:pPr>
    </w:lvl>
    <w:lvl w:ilvl="4">
      <w:numFmt w:val="bullet"/>
      <w:lvlText w:val="•"/>
      <w:lvlJc w:val="left"/>
      <w:pPr>
        <w:ind w:left="2625" w:hanging="114"/>
      </w:pPr>
    </w:lvl>
    <w:lvl w:ilvl="5">
      <w:numFmt w:val="bullet"/>
      <w:lvlText w:val="•"/>
      <w:lvlJc w:val="left"/>
      <w:pPr>
        <w:ind w:left="3217" w:hanging="114"/>
      </w:pPr>
    </w:lvl>
    <w:lvl w:ilvl="6">
      <w:numFmt w:val="bullet"/>
      <w:lvlText w:val="•"/>
      <w:lvlJc w:val="left"/>
      <w:pPr>
        <w:ind w:left="3808" w:hanging="114"/>
      </w:pPr>
    </w:lvl>
    <w:lvl w:ilvl="7">
      <w:numFmt w:val="bullet"/>
      <w:lvlText w:val="•"/>
      <w:lvlJc w:val="left"/>
      <w:pPr>
        <w:ind w:left="4399" w:hanging="114"/>
      </w:pPr>
    </w:lvl>
    <w:lvl w:ilvl="8">
      <w:numFmt w:val="bullet"/>
      <w:lvlText w:val="•"/>
      <w:lvlJc w:val="left"/>
      <w:pPr>
        <w:ind w:left="4991" w:hanging="114"/>
      </w:pPr>
    </w:lvl>
  </w:abstractNum>
  <w:abstractNum w:abstractNumId="2" w15:restartNumberingAfterBreak="0">
    <w:nsid w:val="0367396C"/>
    <w:multiLevelType w:val="hybridMultilevel"/>
    <w:tmpl w:val="410C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85BBB"/>
    <w:multiLevelType w:val="hybridMultilevel"/>
    <w:tmpl w:val="B91E41B0"/>
    <w:lvl w:ilvl="0" w:tplc="8DC41B0E">
      <w:start w:val="1"/>
      <w:numFmt w:val="decimal"/>
      <w:lvlText w:val="%1."/>
      <w:lvlJc w:val="left"/>
      <w:pPr>
        <w:ind w:left="839" w:hanging="361"/>
      </w:pPr>
      <w:rPr>
        <w:rFonts w:ascii="Arial" w:eastAsia="Arial" w:hAnsi="Arial" w:cs="Arial" w:hint="default"/>
        <w:spacing w:val="-1"/>
        <w:w w:val="100"/>
        <w:sz w:val="16"/>
        <w:szCs w:val="16"/>
      </w:rPr>
    </w:lvl>
    <w:lvl w:ilvl="1" w:tplc="46AA7F9C">
      <w:numFmt w:val="bullet"/>
      <w:lvlText w:val="•"/>
      <w:lvlJc w:val="left"/>
      <w:pPr>
        <w:ind w:left="1714" w:hanging="361"/>
      </w:pPr>
      <w:rPr>
        <w:rFonts w:hint="default"/>
      </w:rPr>
    </w:lvl>
    <w:lvl w:ilvl="2" w:tplc="25B8890C">
      <w:numFmt w:val="bullet"/>
      <w:lvlText w:val="•"/>
      <w:lvlJc w:val="left"/>
      <w:pPr>
        <w:ind w:left="2588" w:hanging="361"/>
      </w:pPr>
      <w:rPr>
        <w:rFonts w:hint="default"/>
      </w:rPr>
    </w:lvl>
    <w:lvl w:ilvl="3" w:tplc="0B0E7F42">
      <w:numFmt w:val="bullet"/>
      <w:lvlText w:val="•"/>
      <w:lvlJc w:val="left"/>
      <w:pPr>
        <w:ind w:left="3462" w:hanging="361"/>
      </w:pPr>
      <w:rPr>
        <w:rFonts w:hint="default"/>
      </w:rPr>
    </w:lvl>
    <w:lvl w:ilvl="4" w:tplc="8F5AE20C">
      <w:numFmt w:val="bullet"/>
      <w:lvlText w:val="•"/>
      <w:lvlJc w:val="left"/>
      <w:pPr>
        <w:ind w:left="4336" w:hanging="361"/>
      </w:pPr>
      <w:rPr>
        <w:rFonts w:hint="default"/>
      </w:rPr>
    </w:lvl>
    <w:lvl w:ilvl="5" w:tplc="89D65B96">
      <w:numFmt w:val="bullet"/>
      <w:lvlText w:val="•"/>
      <w:lvlJc w:val="left"/>
      <w:pPr>
        <w:ind w:left="5210" w:hanging="361"/>
      </w:pPr>
      <w:rPr>
        <w:rFonts w:hint="default"/>
      </w:rPr>
    </w:lvl>
    <w:lvl w:ilvl="6" w:tplc="21F2A48C">
      <w:numFmt w:val="bullet"/>
      <w:lvlText w:val="•"/>
      <w:lvlJc w:val="left"/>
      <w:pPr>
        <w:ind w:left="6084" w:hanging="361"/>
      </w:pPr>
      <w:rPr>
        <w:rFonts w:hint="default"/>
      </w:rPr>
    </w:lvl>
    <w:lvl w:ilvl="7" w:tplc="1DD60B5E">
      <w:numFmt w:val="bullet"/>
      <w:lvlText w:val="•"/>
      <w:lvlJc w:val="left"/>
      <w:pPr>
        <w:ind w:left="6958" w:hanging="361"/>
      </w:pPr>
      <w:rPr>
        <w:rFonts w:hint="default"/>
      </w:rPr>
    </w:lvl>
    <w:lvl w:ilvl="8" w:tplc="5E52DFA4">
      <w:numFmt w:val="bullet"/>
      <w:lvlText w:val="•"/>
      <w:lvlJc w:val="left"/>
      <w:pPr>
        <w:ind w:left="7832" w:hanging="361"/>
      </w:pPr>
      <w:rPr>
        <w:rFonts w:hint="default"/>
      </w:rPr>
    </w:lvl>
  </w:abstractNum>
  <w:abstractNum w:abstractNumId="4" w15:restartNumberingAfterBreak="0">
    <w:nsid w:val="0E7A0CC4"/>
    <w:multiLevelType w:val="hybridMultilevel"/>
    <w:tmpl w:val="9F64635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734"/>
    <w:multiLevelType w:val="hybridMultilevel"/>
    <w:tmpl w:val="4414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125C0"/>
    <w:multiLevelType w:val="hybridMultilevel"/>
    <w:tmpl w:val="BF222DE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9E1149D"/>
    <w:multiLevelType w:val="hybridMultilevel"/>
    <w:tmpl w:val="0D78F914"/>
    <w:lvl w:ilvl="0" w:tplc="175685EC">
      <w:start w:val="1"/>
      <w:numFmt w:val="decimal"/>
      <w:lvlText w:val="%1."/>
      <w:lvlJc w:val="left"/>
      <w:pPr>
        <w:ind w:left="840" w:hanging="361"/>
      </w:pPr>
      <w:rPr>
        <w:rFonts w:ascii="Arial" w:eastAsia="Arial" w:hAnsi="Arial" w:cs="Arial" w:hint="default"/>
        <w:w w:val="99"/>
        <w:sz w:val="16"/>
        <w:szCs w:val="16"/>
      </w:rPr>
    </w:lvl>
    <w:lvl w:ilvl="1" w:tplc="210E9A56">
      <w:numFmt w:val="bullet"/>
      <w:lvlText w:val="•"/>
      <w:lvlJc w:val="left"/>
      <w:pPr>
        <w:ind w:left="1714" w:hanging="361"/>
      </w:pPr>
      <w:rPr>
        <w:rFonts w:hint="default"/>
      </w:rPr>
    </w:lvl>
    <w:lvl w:ilvl="2" w:tplc="457C3632">
      <w:numFmt w:val="bullet"/>
      <w:lvlText w:val="•"/>
      <w:lvlJc w:val="left"/>
      <w:pPr>
        <w:ind w:left="2588" w:hanging="361"/>
      </w:pPr>
      <w:rPr>
        <w:rFonts w:hint="default"/>
      </w:rPr>
    </w:lvl>
    <w:lvl w:ilvl="3" w:tplc="6D8044CE">
      <w:numFmt w:val="bullet"/>
      <w:lvlText w:val="•"/>
      <w:lvlJc w:val="left"/>
      <w:pPr>
        <w:ind w:left="3462" w:hanging="361"/>
      </w:pPr>
      <w:rPr>
        <w:rFonts w:hint="default"/>
      </w:rPr>
    </w:lvl>
    <w:lvl w:ilvl="4" w:tplc="F462F630">
      <w:numFmt w:val="bullet"/>
      <w:lvlText w:val="•"/>
      <w:lvlJc w:val="left"/>
      <w:pPr>
        <w:ind w:left="4336" w:hanging="361"/>
      </w:pPr>
      <w:rPr>
        <w:rFonts w:hint="default"/>
      </w:rPr>
    </w:lvl>
    <w:lvl w:ilvl="5" w:tplc="1520E7E8">
      <w:numFmt w:val="bullet"/>
      <w:lvlText w:val="•"/>
      <w:lvlJc w:val="left"/>
      <w:pPr>
        <w:ind w:left="5210" w:hanging="361"/>
      </w:pPr>
      <w:rPr>
        <w:rFonts w:hint="default"/>
      </w:rPr>
    </w:lvl>
    <w:lvl w:ilvl="6" w:tplc="3934CC22">
      <w:numFmt w:val="bullet"/>
      <w:lvlText w:val="•"/>
      <w:lvlJc w:val="left"/>
      <w:pPr>
        <w:ind w:left="6084" w:hanging="361"/>
      </w:pPr>
      <w:rPr>
        <w:rFonts w:hint="default"/>
      </w:rPr>
    </w:lvl>
    <w:lvl w:ilvl="7" w:tplc="F3767D4A">
      <w:numFmt w:val="bullet"/>
      <w:lvlText w:val="•"/>
      <w:lvlJc w:val="left"/>
      <w:pPr>
        <w:ind w:left="6958" w:hanging="361"/>
      </w:pPr>
      <w:rPr>
        <w:rFonts w:hint="default"/>
      </w:rPr>
    </w:lvl>
    <w:lvl w:ilvl="8" w:tplc="E634F9DC">
      <w:numFmt w:val="bullet"/>
      <w:lvlText w:val="•"/>
      <w:lvlJc w:val="left"/>
      <w:pPr>
        <w:ind w:left="7832" w:hanging="361"/>
      </w:pPr>
      <w:rPr>
        <w:rFonts w:hint="default"/>
      </w:rPr>
    </w:lvl>
  </w:abstractNum>
  <w:abstractNum w:abstractNumId="8" w15:restartNumberingAfterBreak="0">
    <w:nsid w:val="1BD9072D"/>
    <w:multiLevelType w:val="hybridMultilevel"/>
    <w:tmpl w:val="4970C9D4"/>
    <w:lvl w:ilvl="0" w:tplc="B51A1D2E">
      <w:numFmt w:val="bullet"/>
      <w:lvlText w:val="•"/>
      <w:lvlJc w:val="left"/>
      <w:pPr>
        <w:ind w:left="1080" w:hanging="360"/>
      </w:pPr>
      <w:rPr>
        <w:rFonts w:ascii="Arial" w:eastAsia="Arial" w:hAnsi="Arial" w:cs="Arial" w:hint="default"/>
        <w:color w:val="2A2A2A"/>
        <w:w w:val="107"/>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FA277E"/>
    <w:multiLevelType w:val="hybridMultilevel"/>
    <w:tmpl w:val="0CB284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F65510"/>
    <w:multiLevelType w:val="hybridMultilevel"/>
    <w:tmpl w:val="3A4024C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5E50703"/>
    <w:multiLevelType w:val="hybridMultilevel"/>
    <w:tmpl w:val="3C3AF2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67D5376"/>
    <w:multiLevelType w:val="hybridMultilevel"/>
    <w:tmpl w:val="DB8ABB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82B3EAB"/>
    <w:multiLevelType w:val="multilevel"/>
    <w:tmpl w:val="C110246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C835BD"/>
    <w:multiLevelType w:val="hybridMultilevel"/>
    <w:tmpl w:val="9160B2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63E1EBB"/>
    <w:multiLevelType w:val="hybridMultilevel"/>
    <w:tmpl w:val="3E7EE30E"/>
    <w:lvl w:ilvl="0" w:tplc="2D66F3AA">
      <w:numFmt w:val="bullet"/>
      <w:lvlText w:val="•"/>
      <w:lvlJc w:val="left"/>
      <w:pPr>
        <w:ind w:left="1080" w:hanging="360"/>
      </w:pPr>
      <w:rPr>
        <w:rFonts w:ascii="Arial" w:eastAsia="Arial" w:hAnsi="Arial" w:cs="Arial" w:hint="default"/>
        <w:color w:val="2F2F2F"/>
        <w:w w:val="106"/>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7137B5"/>
    <w:multiLevelType w:val="hybridMultilevel"/>
    <w:tmpl w:val="C56E8E80"/>
    <w:lvl w:ilvl="0" w:tplc="04090013">
      <w:start w:val="1"/>
      <w:numFmt w:val="upperRoman"/>
      <w:lvlText w:val="%1."/>
      <w:lvlJc w:val="righ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15:restartNumberingAfterBreak="0">
    <w:nsid w:val="3BF69965"/>
    <w:multiLevelType w:val="hybridMultilevel"/>
    <w:tmpl w:val="A86DF4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6B62E3"/>
    <w:multiLevelType w:val="hybridMultilevel"/>
    <w:tmpl w:val="D772BF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6B55512"/>
    <w:multiLevelType w:val="hybridMultilevel"/>
    <w:tmpl w:val="CDF6EA3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15:restartNumberingAfterBreak="0">
    <w:nsid w:val="498E16B3"/>
    <w:multiLevelType w:val="hybridMultilevel"/>
    <w:tmpl w:val="EA2C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0727A"/>
    <w:multiLevelType w:val="hybridMultilevel"/>
    <w:tmpl w:val="0EF07270"/>
    <w:lvl w:ilvl="0" w:tplc="DDF6D280">
      <w:start w:val="1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046D2"/>
    <w:multiLevelType w:val="hybridMultilevel"/>
    <w:tmpl w:val="594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67C76"/>
    <w:multiLevelType w:val="hybridMultilevel"/>
    <w:tmpl w:val="2C42371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5E221286"/>
    <w:multiLevelType w:val="hybridMultilevel"/>
    <w:tmpl w:val="925ECE28"/>
    <w:lvl w:ilvl="0" w:tplc="773EE428">
      <w:numFmt w:val="bullet"/>
      <w:lvlText w:val="•"/>
      <w:lvlJc w:val="left"/>
      <w:pPr>
        <w:ind w:left="1080" w:hanging="360"/>
      </w:pPr>
      <w:rPr>
        <w:rFonts w:ascii="Arial" w:eastAsia="Arial" w:hAnsi="Arial" w:cs="Arial" w:hint="default"/>
        <w:color w:val="2B2B2B"/>
        <w:w w:val="104"/>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4A013E"/>
    <w:multiLevelType w:val="hybridMultilevel"/>
    <w:tmpl w:val="39B41660"/>
    <w:lvl w:ilvl="0" w:tplc="3E52226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63FE7013"/>
    <w:multiLevelType w:val="hybridMultilevel"/>
    <w:tmpl w:val="E7C0D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FAF6463"/>
    <w:multiLevelType w:val="hybridMultilevel"/>
    <w:tmpl w:val="FB74539C"/>
    <w:lvl w:ilvl="0" w:tplc="773EE428">
      <w:numFmt w:val="bullet"/>
      <w:lvlText w:val="•"/>
      <w:lvlJc w:val="left"/>
      <w:pPr>
        <w:ind w:left="1080" w:hanging="360"/>
      </w:pPr>
      <w:rPr>
        <w:rFonts w:ascii="Arial" w:eastAsia="Arial" w:hAnsi="Arial" w:cs="Arial" w:hint="default"/>
        <w:color w:val="2B2B2B"/>
        <w:w w:val="104"/>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0D04E7"/>
    <w:multiLevelType w:val="hybridMultilevel"/>
    <w:tmpl w:val="7FBE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31D0E"/>
    <w:multiLevelType w:val="hybridMultilevel"/>
    <w:tmpl w:val="8B0E1744"/>
    <w:lvl w:ilvl="0" w:tplc="B0F07BB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15:restartNumberingAfterBreak="0">
    <w:nsid w:val="72A60B9E"/>
    <w:multiLevelType w:val="hybridMultilevel"/>
    <w:tmpl w:val="ED9647E8"/>
    <w:lvl w:ilvl="0" w:tplc="779C1706">
      <w:numFmt w:val="bullet"/>
      <w:lvlText w:val="•"/>
      <w:lvlJc w:val="left"/>
      <w:pPr>
        <w:ind w:left="1080" w:hanging="360"/>
      </w:pPr>
      <w:rPr>
        <w:rFonts w:ascii="Times New Roman" w:eastAsia="Times New Roman" w:hAnsi="Times New Roman" w:cs="Times New Roman" w:hint="default"/>
        <w:color w:val="2A2B34"/>
        <w:w w:val="106"/>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BD3C4A"/>
    <w:multiLevelType w:val="hybridMultilevel"/>
    <w:tmpl w:val="AC519A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4"/>
  </w:num>
  <w:num w:numId="3">
    <w:abstractNumId w:val="19"/>
  </w:num>
  <w:num w:numId="4">
    <w:abstractNumId w:val="18"/>
  </w:num>
  <w:num w:numId="5">
    <w:abstractNumId w:val="18"/>
  </w:num>
  <w:num w:numId="6">
    <w:abstractNumId w:val="29"/>
  </w:num>
  <w:num w:numId="7">
    <w:abstractNumId w:val="17"/>
  </w:num>
  <w:num w:numId="8">
    <w:abstractNumId w:val="28"/>
  </w:num>
  <w:num w:numId="9">
    <w:abstractNumId w:val="26"/>
  </w:num>
  <w:num w:numId="10">
    <w:abstractNumId w:val="22"/>
  </w:num>
  <w:num w:numId="11">
    <w:abstractNumId w:val="6"/>
  </w:num>
  <w:num w:numId="12">
    <w:abstractNumId w:val="16"/>
  </w:num>
  <w:num w:numId="13">
    <w:abstractNumId w:val="25"/>
  </w:num>
  <w:num w:numId="14">
    <w:abstractNumId w:val="13"/>
  </w:num>
  <w:num w:numId="15">
    <w:abstractNumId w:val="12"/>
  </w:num>
  <w:num w:numId="16">
    <w:abstractNumId w:val="12"/>
  </w:num>
  <w:num w:numId="17">
    <w:abstractNumId w:val="10"/>
  </w:num>
  <w:num w:numId="18">
    <w:abstractNumId w:val="11"/>
  </w:num>
  <w:num w:numId="19">
    <w:abstractNumId w:val="3"/>
  </w:num>
  <w:num w:numId="20">
    <w:abstractNumId w:val="23"/>
  </w:num>
  <w:num w:numId="21">
    <w:abstractNumId w:val="20"/>
  </w:num>
  <w:num w:numId="22">
    <w:abstractNumId w:val="4"/>
  </w:num>
  <w:num w:numId="23">
    <w:abstractNumId w:val="9"/>
  </w:num>
  <w:num w:numId="24">
    <w:abstractNumId w:val="5"/>
  </w:num>
  <w:num w:numId="25">
    <w:abstractNumId w:val="1"/>
  </w:num>
  <w:num w:numId="26">
    <w:abstractNumId w:val="0"/>
  </w:num>
  <w:num w:numId="27">
    <w:abstractNumId w:val="31"/>
  </w:num>
  <w:num w:numId="28">
    <w:abstractNumId w:val="2"/>
  </w:num>
  <w:num w:numId="29">
    <w:abstractNumId w:val="21"/>
  </w:num>
  <w:num w:numId="30">
    <w:abstractNumId w:val="8"/>
  </w:num>
  <w:num w:numId="31">
    <w:abstractNumId w:val="30"/>
  </w:num>
  <w:num w:numId="32">
    <w:abstractNumId w:val="27"/>
  </w:num>
  <w:num w:numId="33">
    <w:abstractNumId w:val="24"/>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pallante">
    <w15:presenceInfo w15:providerId="None" w15:userId="npall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27"/>
    <w:rsid w:val="000015AE"/>
    <w:rsid w:val="00002C64"/>
    <w:rsid w:val="00004BE7"/>
    <w:rsid w:val="00006AC7"/>
    <w:rsid w:val="000121D9"/>
    <w:rsid w:val="000147D9"/>
    <w:rsid w:val="00015F78"/>
    <w:rsid w:val="00024E9A"/>
    <w:rsid w:val="00025899"/>
    <w:rsid w:val="0003620F"/>
    <w:rsid w:val="0004162F"/>
    <w:rsid w:val="00042E1D"/>
    <w:rsid w:val="00044BB1"/>
    <w:rsid w:val="00045431"/>
    <w:rsid w:val="000459D8"/>
    <w:rsid w:val="00047EDE"/>
    <w:rsid w:val="00050705"/>
    <w:rsid w:val="0005319E"/>
    <w:rsid w:val="00053B2E"/>
    <w:rsid w:val="00055BD4"/>
    <w:rsid w:val="000645E3"/>
    <w:rsid w:val="00064C28"/>
    <w:rsid w:val="00066065"/>
    <w:rsid w:val="000664DE"/>
    <w:rsid w:val="00075106"/>
    <w:rsid w:val="00075776"/>
    <w:rsid w:val="00075938"/>
    <w:rsid w:val="0009545C"/>
    <w:rsid w:val="000A729F"/>
    <w:rsid w:val="000B0150"/>
    <w:rsid w:val="000B277E"/>
    <w:rsid w:val="000B3E55"/>
    <w:rsid w:val="000B50A9"/>
    <w:rsid w:val="000C07C4"/>
    <w:rsid w:val="000C20B9"/>
    <w:rsid w:val="000C6595"/>
    <w:rsid w:val="000D057B"/>
    <w:rsid w:val="000D1043"/>
    <w:rsid w:val="000D251C"/>
    <w:rsid w:val="000F04E3"/>
    <w:rsid w:val="000F53F0"/>
    <w:rsid w:val="00101C2B"/>
    <w:rsid w:val="001067C7"/>
    <w:rsid w:val="00113C8F"/>
    <w:rsid w:val="00114122"/>
    <w:rsid w:val="001173B4"/>
    <w:rsid w:val="00117A11"/>
    <w:rsid w:val="001202C7"/>
    <w:rsid w:val="0014535C"/>
    <w:rsid w:val="00151284"/>
    <w:rsid w:val="00153C87"/>
    <w:rsid w:val="00155F90"/>
    <w:rsid w:val="0016368C"/>
    <w:rsid w:val="00166AB0"/>
    <w:rsid w:val="001711EB"/>
    <w:rsid w:val="0017201D"/>
    <w:rsid w:val="00172704"/>
    <w:rsid w:val="0017396F"/>
    <w:rsid w:val="00174484"/>
    <w:rsid w:val="00175F83"/>
    <w:rsid w:val="001837D0"/>
    <w:rsid w:val="00184BAD"/>
    <w:rsid w:val="00186422"/>
    <w:rsid w:val="001941C8"/>
    <w:rsid w:val="001A4677"/>
    <w:rsid w:val="001A6A31"/>
    <w:rsid w:val="001B01E1"/>
    <w:rsid w:val="001B4323"/>
    <w:rsid w:val="001C293F"/>
    <w:rsid w:val="001C3CFD"/>
    <w:rsid w:val="001C4C59"/>
    <w:rsid w:val="001D1878"/>
    <w:rsid w:val="001D3DB6"/>
    <w:rsid w:val="001E0DB5"/>
    <w:rsid w:val="0020002F"/>
    <w:rsid w:val="00203B55"/>
    <w:rsid w:val="00206378"/>
    <w:rsid w:val="002127C7"/>
    <w:rsid w:val="00215FE1"/>
    <w:rsid w:val="00224DF5"/>
    <w:rsid w:val="00224FCC"/>
    <w:rsid w:val="0022639D"/>
    <w:rsid w:val="002316ED"/>
    <w:rsid w:val="0023216A"/>
    <w:rsid w:val="00237EFD"/>
    <w:rsid w:val="00251820"/>
    <w:rsid w:val="00253EB7"/>
    <w:rsid w:val="0025529B"/>
    <w:rsid w:val="00262829"/>
    <w:rsid w:val="00271901"/>
    <w:rsid w:val="002743B9"/>
    <w:rsid w:val="002813F6"/>
    <w:rsid w:val="0028159E"/>
    <w:rsid w:val="00281974"/>
    <w:rsid w:val="0028253E"/>
    <w:rsid w:val="00282842"/>
    <w:rsid w:val="002834F2"/>
    <w:rsid w:val="00284695"/>
    <w:rsid w:val="00285875"/>
    <w:rsid w:val="0028623D"/>
    <w:rsid w:val="00292274"/>
    <w:rsid w:val="0029497C"/>
    <w:rsid w:val="002A41EA"/>
    <w:rsid w:val="002B4C78"/>
    <w:rsid w:val="002B52AC"/>
    <w:rsid w:val="002B62FF"/>
    <w:rsid w:val="002B68C4"/>
    <w:rsid w:val="002C06F4"/>
    <w:rsid w:val="002C5F4A"/>
    <w:rsid w:val="002D047B"/>
    <w:rsid w:val="002D1F47"/>
    <w:rsid w:val="002D5050"/>
    <w:rsid w:val="002E1126"/>
    <w:rsid w:val="002E6D66"/>
    <w:rsid w:val="002F0A55"/>
    <w:rsid w:val="002F2A3E"/>
    <w:rsid w:val="002F5DC2"/>
    <w:rsid w:val="003013D6"/>
    <w:rsid w:val="003118F3"/>
    <w:rsid w:val="00312BE1"/>
    <w:rsid w:val="003149E6"/>
    <w:rsid w:val="00327A6D"/>
    <w:rsid w:val="00332AB1"/>
    <w:rsid w:val="00333A51"/>
    <w:rsid w:val="00336027"/>
    <w:rsid w:val="003417F7"/>
    <w:rsid w:val="00342688"/>
    <w:rsid w:val="0034417E"/>
    <w:rsid w:val="00345769"/>
    <w:rsid w:val="003461F1"/>
    <w:rsid w:val="003463AA"/>
    <w:rsid w:val="00347035"/>
    <w:rsid w:val="0034766C"/>
    <w:rsid w:val="00350F95"/>
    <w:rsid w:val="0035224D"/>
    <w:rsid w:val="00357100"/>
    <w:rsid w:val="00361B08"/>
    <w:rsid w:val="00362A06"/>
    <w:rsid w:val="00362D04"/>
    <w:rsid w:val="0037114D"/>
    <w:rsid w:val="00373869"/>
    <w:rsid w:val="00373C9A"/>
    <w:rsid w:val="003770FE"/>
    <w:rsid w:val="00386410"/>
    <w:rsid w:val="00387791"/>
    <w:rsid w:val="00387BF1"/>
    <w:rsid w:val="0039058A"/>
    <w:rsid w:val="003936AA"/>
    <w:rsid w:val="00394435"/>
    <w:rsid w:val="0039708F"/>
    <w:rsid w:val="003972F2"/>
    <w:rsid w:val="003A27B5"/>
    <w:rsid w:val="003A31BC"/>
    <w:rsid w:val="003A355D"/>
    <w:rsid w:val="003A61DB"/>
    <w:rsid w:val="003B368E"/>
    <w:rsid w:val="003C0E63"/>
    <w:rsid w:val="003C2F2C"/>
    <w:rsid w:val="003D286D"/>
    <w:rsid w:val="003D3171"/>
    <w:rsid w:val="003D487E"/>
    <w:rsid w:val="003D5D05"/>
    <w:rsid w:val="003D76F2"/>
    <w:rsid w:val="003D7E60"/>
    <w:rsid w:val="003E1587"/>
    <w:rsid w:val="003E1A9A"/>
    <w:rsid w:val="003E7FB0"/>
    <w:rsid w:val="003F095E"/>
    <w:rsid w:val="003F0980"/>
    <w:rsid w:val="003F3695"/>
    <w:rsid w:val="003F4BE8"/>
    <w:rsid w:val="003F5A28"/>
    <w:rsid w:val="00400795"/>
    <w:rsid w:val="0040421B"/>
    <w:rsid w:val="0040443B"/>
    <w:rsid w:val="00410A4C"/>
    <w:rsid w:val="00412143"/>
    <w:rsid w:val="0041359A"/>
    <w:rsid w:val="0041513E"/>
    <w:rsid w:val="004165A3"/>
    <w:rsid w:val="00426644"/>
    <w:rsid w:val="0042771A"/>
    <w:rsid w:val="00430B90"/>
    <w:rsid w:val="004333AC"/>
    <w:rsid w:val="00434F65"/>
    <w:rsid w:val="00436301"/>
    <w:rsid w:val="00445796"/>
    <w:rsid w:val="00447236"/>
    <w:rsid w:val="00447DF9"/>
    <w:rsid w:val="00453EF8"/>
    <w:rsid w:val="00455A9C"/>
    <w:rsid w:val="004714C3"/>
    <w:rsid w:val="00471860"/>
    <w:rsid w:val="004734A1"/>
    <w:rsid w:val="00473AA0"/>
    <w:rsid w:val="00477E0D"/>
    <w:rsid w:val="00483736"/>
    <w:rsid w:val="00490E6A"/>
    <w:rsid w:val="00494554"/>
    <w:rsid w:val="00496ED7"/>
    <w:rsid w:val="004A059C"/>
    <w:rsid w:val="004A26B9"/>
    <w:rsid w:val="004A57A7"/>
    <w:rsid w:val="004A6D68"/>
    <w:rsid w:val="004A7576"/>
    <w:rsid w:val="004B5F39"/>
    <w:rsid w:val="004D40A7"/>
    <w:rsid w:val="004D4AB9"/>
    <w:rsid w:val="004D5512"/>
    <w:rsid w:val="004E1C38"/>
    <w:rsid w:val="004E2BBE"/>
    <w:rsid w:val="004F22E4"/>
    <w:rsid w:val="004F4AA6"/>
    <w:rsid w:val="005006EF"/>
    <w:rsid w:val="005029CB"/>
    <w:rsid w:val="00502CA8"/>
    <w:rsid w:val="005044BE"/>
    <w:rsid w:val="005047B9"/>
    <w:rsid w:val="00520E0D"/>
    <w:rsid w:val="005221F9"/>
    <w:rsid w:val="00525430"/>
    <w:rsid w:val="005269BF"/>
    <w:rsid w:val="0052717D"/>
    <w:rsid w:val="005324D7"/>
    <w:rsid w:val="00546F4D"/>
    <w:rsid w:val="0055720C"/>
    <w:rsid w:val="005575ED"/>
    <w:rsid w:val="00560BA0"/>
    <w:rsid w:val="005618FE"/>
    <w:rsid w:val="00562890"/>
    <w:rsid w:val="00564370"/>
    <w:rsid w:val="005665E3"/>
    <w:rsid w:val="005668F9"/>
    <w:rsid w:val="005709E1"/>
    <w:rsid w:val="00577F80"/>
    <w:rsid w:val="005827AA"/>
    <w:rsid w:val="00591A77"/>
    <w:rsid w:val="00591C8D"/>
    <w:rsid w:val="005948A9"/>
    <w:rsid w:val="005958DC"/>
    <w:rsid w:val="005A3B84"/>
    <w:rsid w:val="005A457D"/>
    <w:rsid w:val="005A5BBF"/>
    <w:rsid w:val="005B3F3D"/>
    <w:rsid w:val="005B4AAD"/>
    <w:rsid w:val="005B77CF"/>
    <w:rsid w:val="005B7887"/>
    <w:rsid w:val="005C7A04"/>
    <w:rsid w:val="005D0CE1"/>
    <w:rsid w:val="005D2103"/>
    <w:rsid w:val="005F0AE0"/>
    <w:rsid w:val="005F1927"/>
    <w:rsid w:val="005F1AFC"/>
    <w:rsid w:val="005F6268"/>
    <w:rsid w:val="0060013B"/>
    <w:rsid w:val="00600757"/>
    <w:rsid w:val="00602C64"/>
    <w:rsid w:val="00602E1F"/>
    <w:rsid w:val="00603E5B"/>
    <w:rsid w:val="00605CF7"/>
    <w:rsid w:val="00611AD4"/>
    <w:rsid w:val="00623A50"/>
    <w:rsid w:val="00627DAF"/>
    <w:rsid w:val="0063021C"/>
    <w:rsid w:val="00630DBE"/>
    <w:rsid w:val="0063228C"/>
    <w:rsid w:val="00643899"/>
    <w:rsid w:val="00644135"/>
    <w:rsid w:val="00644FF9"/>
    <w:rsid w:val="00651223"/>
    <w:rsid w:val="006523B3"/>
    <w:rsid w:val="00652F3D"/>
    <w:rsid w:val="00654C56"/>
    <w:rsid w:val="00660890"/>
    <w:rsid w:val="0067055E"/>
    <w:rsid w:val="006770EC"/>
    <w:rsid w:val="00677A3B"/>
    <w:rsid w:val="00683841"/>
    <w:rsid w:val="00685064"/>
    <w:rsid w:val="006932A5"/>
    <w:rsid w:val="00695E5A"/>
    <w:rsid w:val="00695F04"/>
    <w:rsid w:val="006A1660"/>
    <w:rsid w:val="006A2D42"/>
    <w:rsid w:val="006A60A7"/>
    <w:rsid w:val="006A60F3"/>
    <w:rsid w:val="006B6FAD"/>
    <w:rsid w:val="006C0213"/>
    <w:rsid w:val="006C147C"/>
    <w:rsid w:val="006C17E8"/>
    <w:rsid w:val="006C594E"/>
    <w:rsid w:val="006D1270"/>
    <w:rsid w:val="006D325D"/>
    <w:rsid w:val="006D6778"/>
    <w:rsid w:val="006D67DF"/>
    <w:rsid w:val="006E17EA"/>
    <w:rsid w:val="006E1AE7"/>
    <w:rsid w:val="006E5E22"/>
    <w:rsid w:val="006F1F88"/>
    <w:rsid w:val="00700351"/>
    <w:rsid w:val="00700D8B"/>
    <w:rsid w:val="0071363F"/>
    <w:rsid w:val="007148C7"/>
    <w:rsid w:val="00715929"/>
    <w:rsid w:val="00724ED8"/>
    <w:rsid w:val="0072554F"/>
    <w:rsid w:val="00725F0B"/>
    <w:rsid w:val="007304D5"/>
    <w:rsid w:val="00733392"/>
    <w:rsid w:val="00747A96"/>
    <w:rsid w:val="007532AE"/>
    <w:rsid w:val="00753EC9"/>
    <w:rsid w:val="0076072D"/>
    <w:rsid w:val="00761677"/>
    <w:rsid w:val="0076650E"/>
    <w:rsid w:val="00766B05"/>
    <w:rsid w:val="00773017"/>
    <w:rsid w:val="00773DF4"/>
    <w:rsid w:val="007A11A3"/>
    <w:rsid w:val="007A506C"/>
    <w:rsid w:val="007A6731"/>
    <w:rsid w:val="007A6D94"/>
    <w:rsid w:val="007B48BD"/>
    <w:rsid w:val="007B4BD0"/>
    <w:rsid w:val="007C1172"/>
    <w:rsid w:val="007C2CD6"/>
    <w:rsid w:val="007C385F"/>
    <w:rsid w:val="007C4227"/>
    <w:rsid w:val="007C4899"/>
    <w:rsid w:val="007C4E49"/>
    <w:rsid w:val="007D20DF"/>
    <w:rsid w:val="007D5F7E"/>
    <w:rsid w:val="007E24EC"/>
    <w:rsid w:val="007F649D"/>
    <w:rsid w:val="007F6981"/>
    <w:rsid w:val="007F6B81"/>
    <w:rsid w:val="007F7A62"/>
    <w:rsid w:val="008038FE"/>
    <w:rsid w:val="00811BAB"/>
    <w:rsid w:val="00814BC2"/>
    <w:rsid w:val="00817A35"/>
    <w:rsid w:val="00823336"/>
    <w:rsid w:val="00825F33"/>
    <w:rsid w:val="00827D49"/>
    <w:rsid w:val="00834788"/>
    <w:rsid w:val="0084768E"/>
    <w:rsid w:val="00856CDC"/>
    <w:rsid w:val="00857B60"/>
    <w:rsid w:val="00863261"/>
    <w:rsid w:val="00872BA2"/>
    <w:rsid w:val="00873070"/>
    <w:rsid w:val="008739CE"/>
    <w:rsid w:val="00875061"/>
    <w:rsid w:val="0087513E"/>
    <w:rsid w:val="00876AC6"/>
    <w:rsid w:val="00876ED1"/>
    <w:rsid w:val="00880BE6"/>
    <w:rsid w:val="00881186"/>
    <w:rsid w:val="00883085"/>
    <w:rsid w:val="00894213"/>
    <w:rsid w:val="0089770C"/>
    <w:rsid w:val="008A1F83"/>
    <w:rsid w:val="008A2ACA"/>
    <w:rsid w:val="008A791C"/>
    <w:rsid w:val="008B45C2"/>
    <w:rsid w:val="008B6BBD"/>
    <w:rsid w:val="008C59CC"/>
    <w:rsid w:val="008C6216"/>
    <w:rsid w:val="008C64FE"/>
    <w:rsid w:val="008D2421"/>
    <w:rsid w:val="008E0D47"/>
    <w:rsid w:val="008E2540"/>
    <w:rsid w:val="008E4669"/>
    <w:rsid w:val="008F1149"/>
    <w:rsid w:val="008F2B54"/>
    <w:rsid w:val="008F623C"/>
    <w:rsid w:val="008F7EE5"/>
    <w:rsid w:val="00904F81"/>
    <w:rsid w:val="0090556E"/>
    <w:rsid w:val="009073B0"/>
    <w:rsid w:val="0090794C"/>
    <w:rsid w:val="00907E02"/>
    <w:rsid w:val="009133F8"/>
    <w:rsid w:val="00915D32"/>
    <w:rsid w:val="0091608C"/>
    <w:rsid w:val="0092168D"/>
    <w:rsid w:val="00932F0F"/>
    <w:rsid w:val="00934DDB"/>
    <w:rsid w:val="0093795A"/>
    <w:rsid w:val="00944EFB"/>
    <w:rsid w:val="0094561D"/>
    <w:rsid w:val="00951831"/>
    <w:rsid w:val="0095445F"/>
    <w:rsid w:val="00963925"/>
    <w:rsid w:val="00963D83"/>
    <w:rsid w:val="00976131"/>
    <w:rsid w:val="00976198"/>
    <w:rsid w:val="0098039E"/>
    <w:rsid w:val="00982CFC"/>
    <w:rsid w:val="0099082D"/>
    <w:rsid w:val="00996D17"/>
    <w:rsid w:val="009A0422"/>
    <w:rsid w:val="009A2D97"/>
    <w:rsid w:val="009A5D48"/>
    <w:rsid w:val="009A62A1"/>
    <w:rsid w:val="009B0478"/>
    <w:rsid w:val="009B23B2"/>
    <w:rsid w:val="009B2B05"/>
    <w:rsid w:val="009B65D1"/>
    <w:rsid w:val="009C417A"/>
    <w:rsid w:val="009C7759"/>
    <w:rsid w:val="009D2DA7"/>
    <w:rsid w:val="009D4CB2"/>
    <w:rsid w:val="009D6737"/>
    <w:rsid w:val="009D761C"/>
    <w:rsid w:val="009D7F2C"/>
    <w:rsid w:val="009E1F77"/>
    <w:rsid w:val="009F0E13"/>
    <w:rsid w:val="009F0ED6"/>
    <w:rsid w:val="009F29B9"/>
    <w:rsid w:val="009F485C"/>
    <w:rsid w:val="009F70CB"/>
    <w:rsid w:val="00A049CF"/>
    <w:rsid w:val="00A06315"/>
    <w:rsid w:val="00A103EF"/>
    <w:rsid w:val="00A10CF6"/>
    <w:rsid w:val="00A10D70"/>
    <w:rsid w:val="00A21106"/>
    <w:rsid w:val="00A25E81"/>
    <w:rsid w:val="00A3172A"/>
    <w:rsid w:val="00A33EAE"/>
    <w:rsid w:val="00A34699"/>
    <w:rsid w:val="00A41E4A"/>
    <w:rsid w:val="00A41E6F"/>
    <w:rsid w:val="00A45655"/>
    <w:rsid w:val="00A52994"/>
    <w:rsid w:val="00A614D6"/>
    <w:rsid w:val="00A615AE"/>
    <w:rsid w:val="00A63DF2"/>
    <w:rsid w:val="00A742BF"/>
    <w:rsid w:val="00A750D6"/>
    <w:rsid w:val="00A94A8B"/>
    <w:rsid w:val="00AA308E"/>
    <w:rsid w:val="00AA4C0A"/>
    <w:rsid w:val="00AB3BFE"/>
    <w:rsid w:val="00AB4258"/>
    <w:rsid w:val="00AB4D79"/>
    <w:rsid w:val="00AB6A3E"/>
    <w:rsid w:val="00AC10B4"/>
    <w:rsid w:val="00AC10D1"/>
    <w:rsid w:val="00AC6CEF"/>
    <w:rsid w:val="00AC74AB"/>
    <w:rsid w:val="00AC7ABF"/>
    <w:rsid w:val="00AD7B19"/>
    <w:rsid w:val="00AE0D87"/>
    <w:rsid w:val="00AE1771"/>
    <w:rsid w:val="00AF2B7C"/>
    <w:rsid w:val="00AF7312"/>
    <w:rsid w:val="00B07D7F"/>
    <w:rsid w:val="00B122B8"/>
    <w:rsid w:val="00B153AA"/>
    <w:rsid w:val="00B1716D"/>
    <w:rsid w:val="00B21EB2"/>
    <w:rsid w:val="00B3089B"/>
    <w:rsid w:val="00B30C70"/>
    <w:rsid w:val="00B31515"/>
    <w:rsid w:val="00B327E8"/>
    <w:rsid w:val="00B34759"/>
    <w:rsid w:val="00B3618F"/>
    <w:rsid w:val="00B43902"/>
    <w:rsid w:val="00B54633"/>
    <w:rsid w:val="00B5709F"/>
    <w:rsid w:val="00B677AB"/>
    <w:rsid w:val="00B74CEF"/>
    <w:rsid w:val="00B76ADA"/>
    <w:rsid w:val="00B76E7E"/>
    <w:rsid w:val="00B8004D"/>
    <w:rsid w:val="00B813F1"/>
    <w:rsid w:val="00B833E5"/>
    <w:rsid w:val="00B905BD"/>
    <w:rsid w:val="00B9097E"/>
    <w:rsid w:val="00B936C2"/>
    <w:rsid w:val="00B94788"/>
    <w:rsid w:val="00B9528F"/>
    <w:rsid w:val="00BA01E1"/>
    <w:rsid w:val="00BA1A4A"/>
    <w:rsid w:val="00BB5588"/>
    <w:rsid w:val="00BB5A71"/>
    <w:rsid w:val="00BB5FE5"/>
    <w:rsid w:val="00BC1A6B"/>
    <w:rsid w:val="00BC37B1"/>
    <w:rsid w:val="00BD277F"/>
    <w:rsid w:val="00BD6DA9"/>
    <w:rsid w:val="00BD6F6A"/>
    <w:rsid w:val="00BE1EA7"/>
    <w:rsid w:val="00BF293F"/>
    <w:rsid w:val="00BF6B0E"/>
    <w:rsid w:val="00C02C27"/>
    <w:rsid w:val="00C046F7"/>
    <w:rsid w:val="00C0597D"/>
    <w:rsid w:val="00C05B84"/>
    <w:rsid w:val="00C10F07"/>
    <w:rsid w:val="00C13251"/>
    <w:rsid w:val="00C143E7"/>
    <w:rsid w:val="00C23BE6"/>
    <w:rsid w:val="00C31023"/>
    <w:rsid w:val="00C31CFC"/>
    <w:rsid w:val="00C334AF"/>
    <w:rsid w:val="00C41E49"/>
    <w:rsid w:val="00C50B8F"/>
    <w:rsid w:val="00C56A1C"/>
    <w:rsid w:val="00C604CB"/>
    <w:rsid w:val="00C664AE"/>
    <w:rsid w:val="00C727CE"/>
    <w:rsid w:val="00C72DEC"/>
    <w:rsid w:val="00C77D3C"/>
    <w:rsid w:val="00C80BD2"/>
    <w:rsid w:val="00C81C50"/>
    <w:rsid w:val="00C85B66"/>
    <w:rsid w:val="00C91FA6"/>
    <w:rsid w:val="00CA3465"/>
    <w:rsid w:val="00CA3DF2"/>
    <w:rsid w:val="00CA4A2E"/>
    <w:rsid w:val="00CB39E1"/>
    <w:rsid w:val="00CB4BD6"/>
    <w:rsid w:val="00CC739F"/>
    <w:rsid w:val="00CD1FF5"/>
    <w:rsid w:val="00CD406D"/>
    <w:rsid w:val="00CD47CA"/>
    <w:rsid w:val="00CF4A5C"/>
    <w:rsid w:val="00CF7059"/>
    <w:rsid w:val="00D048B4"/>
    <w:rsid w:val="00D0723F"/>
    <w:rsid w:val="00D10498"/>
    <w:rsid w:val="00D274BA"/>
    <w:rsid w:val="00D27D5C"/>
    <w:rsid w:val="00D34353"/>
    <w:rsid w:val="00D4484B"/>
    <w:rsid w:val="00D47EA9"/>
    <w:rsid w:val="00D56909"/>
    <w:rsid w:val="00D63C9C"/>
    <w:rsid w:val="00D645C7"/>
    <w:rsid w:val="00D8488B"/>
    <w:rsid w:val="00D879B1"/>
    <w:rsid w:val="00D91B68"/>
    <w:rsid w:val="00D94E37"/>
    <w:rsid w:val="00D95B1B"/>
    <w:rsid w:val="00DA402C"/>
    <w:rsid w:val="00DA5558"/>
    <w:rsid w:val="00DA72DC"/>
    <w:rsid w:val="00DB3F64"/>
    <w:rsid w:val="00DB43B8"/>
    <w:rsid w:val="00DB5FC9"/>
    <w:rsid w:val="00DB62F6"/>
    <w:rsid w:val="00DC1711"/>
    <w:rsid w:val="00DD1176"/>
    <w:rsid w:val="00DD5EB0"/>
    <w:rsid w:val="00DE7585"/>
    <w:rsid w:val="00DF158D"/>
    <w:rsid w:val="00DF4535"/>
    <w:rsid w:val="00E01409"/>
    <w:rsid w:val="00E03953"/>
    <w:rsid w:val="00E03FFB"/>
    <w:rsid w:val="00E129AD"/>
    <w:rsid w:val="00E14C49"/>
    <w:rsid w:val="00E20A31"/>
    <w:rsid w:val="00E345C4"/>
    <w:rsid w:val="00E40CC7"/>
    <w:rsid w:val="00E44403"/>
    <w:rsid w:val="00E454A9"/>
    <w:rsid w:val="00E60149"/>
    <w:rsid w:val="00E703B1"/>
    <w:rsid w:val="00E7421C"/>
    <w:rsid w:val="00E76008"/>
    <w:rsid w:val="00E83BC5"/>
    <w:rsid w:val="00E86BBD"/>
    <w:rsid w:val="00E91BA9"/>
    <w:rsid w:val="00E9336E"/>
    <w:rsid w:val="00E94EF1"/>
    <w:rsid w:val="00EA3A72"/>
    <w:rsid w:val="00EA454B"/>
    <w:rsid w:val="00EA5CF4"/>
    <w:rsid w:val="00EA5FB5"/>
    <w:rsid w:val="00EA7919"/>
    <w:rsid w:val="00EB0167"/>
    <w:rsid w:val="00EB3497"/>
    <w:rsid w:val="00EB5B61"/>
    <w:rsid w:val="00EB5CBF"/>
    <w:rsid w:val="00ED0523"/>
    <w:rsid w:val="00EE0452"/>
    <w:rsid w:val="00EE4C5D"/>
    <w:rsid w:val="00EE4C80"/>
    <w:rsid w:val="00EE65F8"/>
    <w:rsid w:val="00EF1F78"/>
    <w:rsid w:val="00EF6587"/>
    <w:rsid w:val="00F14793"/>
    <w:rsid w:val="00F20274"/>
    <w:rsid w:val="00F21F9C"/>
    <w:rsid w:val="00F24E21"/>
    <w:rsid w:val="00F2567D"/>
    <w:rsid w:val="00F279E4"/>
    <w:rsid w:val="00F30A52"/>
    <w:rsid w:val="00F33570"/>
    <w:rsid w:val="00F35FB7"/>
    <w:rsid w:val="00F43C79"/>
    <w:rsid w:val="00F43DDC"/>
    <w:rsid w:val="00F468FD"/>
    <w:rsid w:val="00F46A41"/>
    <w:rsid w:val="00F47824"/>
    <w:rsid w:val="00F61D62"/>
    <w:rsid w:val="00F653E7"/>
    <w:rsid w:val="00F769DD"/>
    <w:rsid w:val="00F801CC"/>
    <w:rsid w:val="00F86E8E"/>
    <w:rsid w:val="00F87931"/>
    <w:rsid w:val="00F905C8"/>
    <w:rsid w:val="00F9225C"/>
    <w:rsid w:val="00FA0278"/>
    <w:rsid w:val="00FA11F4"/>
    <w:rsid w:val="00FA3B90"/>
    <w:rsid w:val="00FA4703"/>
    <w:rsid w:val="00FB0E9C"/>
    <w:rsid w:val="00FB2FA0"/>
    <w:rsid w:val="00FB36F5"/>
    <w:rsid w:val="00FC6AB5"/>
    <w:rsid w:val="00FD0EAD"/>
    <w:rsid w:val="00FD2300"/>
    <w:rsid w:val="00FD327C"/>
    <w:rsid w:val="00FD32FF"/>
    <w:rsid w:val="00FD65E8"/>
    <w:rsid w:val="00FE50DC"/>
    <w:rsid w:val="00FE5D42"/>
    <w:rsid w:val="00FE792E"/>
    <w:rsid w:val="00FF6201"/>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C8491"/>
  <w15:docId w15:val="{EA4FEF4F-3DF0-44C7-8EE4-A9225E65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7A11"/>
    <w:rPr>
      <w:rFonts w:ascii="Arial" w:eastAsia="Arial" w:hAnsi="Arial" w:cs="Arial"/>
    </w:rPr>
  </w:style>
  <w:style w:type="paragraph" w:styleId="Heading1">
    <w:name w:val="heading 1"/>
    <w:basedOn w:val="Normal"/>
    <w:uiPriority w:val="1"/>
    <w:qFormat/>
    <w:pPr>
      <w:ind w:left="120"/>
      <w:outlineLvl w:val="0"/>
    </w:pPr>
    <w:rPr>
      <w:b/>
      <w:bCs/>
      <w:sz w:val="24"/>
      <w:szCs w:val="24"/>
      <w:u w:val="single" w:color="000000"/>
    </w:rPr>
  </w:style>
  <w:style w:type="paragraph" w:styleId="Heading2">
    <w:name w:val="heading 2"/>
    <w:basedOn w:val="Normal"/>
    <w:uiPriority w:val="1"/>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39"/>
      <w:ind w:left="840" w:hanging="360"/>
    </w:pPr>
  </w:style>
  <w:style w:type="paragraph" w:customStyle="1" w:styleId="TableParagraph">
    <w:name w:val="Table Paragraph"/>
    <w:basedOn w:val="Normal"/>
    <w:uiPriority w:val="1"/>
    <w:qFormat/>
    <w:pPr>
      <w:spacing w:before="38"/>
      <w:ind w:left="103"/>
    </w:pPr>
  </w:style>
  <w:style w:type="paragraph" w:styleId="BalloonText">
    <w:name w:val="Balloon Text"/>
    <w:basedOn w:val="Normal"/>
    <w:link w:val="BalloonTextChar"/>
    <w:uiPriority w:val="99"/>
    <w:semiHidden/>
    <w:unhideWhenUsed/>
    <w:rsid w:val="00E60149"/>
    <w:rPr>
      <w:rFonts w:ascii="Tahoma" w:hAnsi="Tahoma" w:cs="Tahoma"/>
      <w:sz w:val="16"/>
      <w:szCs w:val="16"/>
    </w:rPr>
  </w:style>
  <w:style w:type="character" w:customStyle="1" w:styleId="BalloonTextChar">
    <w:name w:val="Balloon Text Char"/>
    <w:basedOn w:val="DefaultParagraphFont"/>
    <w:link w:val="BalloonText"/>
    <w:uiPriority w:val="99"/>
    <w:semiHidden/>
    <w:rsid w:val="00E60149"/>
    <w:rPr>
      <w:rFonts w:ascii="Tahoma" w:eastAsia="Arial" w:hAnsi="Tahoma" w:cs="Tahoma"/>
      <w:sz w:val="16"/>
      <w:szCs w:val="16"/>
    </w:rPr>
  </w:style>
  <w:style w:type="character" w:styleId="CommentReference">
    <w:name w:val="annotation reference"/>
    <w:basedOn w:val="DefaultParagraphFont"/>
    <w:uiPriority w:val="99"/>
    <w:semiHidden/>
    <w:unhideWhenUsed/>
    <w:rsid w:val="00B1716D"/>
    <w:rPr>
      <w:sz w:val="16"/>
      <w:szCs w:val="16"/>
    </w:rPr>
  </w:style>
  <w:style w:type="paragraph" w:styleId="CommentText">
    <w:name w:val="annotation text"/>
    <w:basedOn w:val="Normal"/>
    <w:link w:val="CommentTextChar"/>
    <w:uiPriority w:val="99"/>
    <w:unhideWhenUsed/>
    <w:rsid w:val="00B1716D"/>
    <w:rPr>
      <w:sz w:val="20"/>
      <w:szCs w:val="20"/>
    </w:rPr>
  </w:style>
  <w:style w:type="character" w:customStyle="1" w:styleId="CommentTextChar">
    <w:name w:val="Comment Text Char"/>
    <w:basedOn w:val="DefaultParagraphFont"/>
    <w:link w:val="CommentText"/>
    <w:uiPriority w:val="99"/>
    <w:rsid w:val="00B1716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716D"/>
    <w:rPr>
      <w:b/>
      <w:bCs/>
    </w:rPr>
  </w:style>
  <w:style w:type="character" w:customStyle="1" w:styleId="CommentSubjectChar">
    <w:name w:val="Comment Subject Char"/>
    <w:basedOn w:val="CommentTextChar"/>
    <w:link w:val="CommentSubject"/>
    <w:uiPriority w:val="99"/>
    <w:semiHidden/>
    <w:rsid w:val="00B1716D"/>
    <w:rPr>
      <w:rFonts w:ascii="Arial" w:eastAsia="Arial" w:hAnsi="Arial" w:cs="Arial"/>
      <w:b/>
      <w:bCs/>
      <w:sz w:val="20"/>
      <w:szCs w:val="20"/>
    </w:rPr>
  </w:style>
  <w:style w:type="paragraph" w:styleId="Header">
    <w:name w:val="header"/>
    <w:basedOn w:val="Normal"/>
    <w:link w:val="HeaderChar"/>
    <w:uiPriority w:val="99"/>
    <w:unhideWhenUsed/>
    <w:rsid w:val="00075776"/>
    <w:pPr>
      <w:tabs>
        <w:tab w:val="center" w:pos="4680"/>
        <w:tab w:val="right" w:pos="9360"/>
      </w:tabs>
    </w:pPr>
  </w:style>
  <w:style w:type="character" w:customStyle="1" w:styleId="HeaderChar">
    <w:name w:val="Header Char"/>
    <w:basedOn w:val="DefaultParagraphFont"/>
    <w:link w:val="Header"/>
    <w:uiPriority w:val="99"/>
    <w:rsid w:val="00075776"/>
    <w:rPr>
      <w:rFonts w:ascii="Arial" w:eastAsia="Arial" w:hAnsi="Arial" w:cs="Arial"/>
    </w:rPr>
  </w:style>
  <w:style w:type="paragraph" w:styleId="Footer">
    <w:name w:val="footer"/>
    <w:basedOn w:val="Normal"/>
    <w:link w:val="FooterChar"/>
    <w:uiPriority w:val="99"/>
    <w:unhideWhenUsed/>
    <w:rsid w:val="00075776"/>
    <w:pPr>
      <w:tabs>
        <w:tab w:val="center" w:pos="4680"/>
        <w:tab w:val="right" w:pos="9360"/>
      </w:tabs>
    </w:pPr>
  </w:style>
  <w:style w:type="character" w:customStyle="1" w:styleId="FooterChar">
    <w:name w:val="Footer Char"/>
    <w:basedOn w:val="DefaultParagraphFont"/>
    <w:link w:val="Footer"/>
    <w:uiPriority w:val="99"/>
    <w:rsid w:val="00075776"/>
    <w:rPr>
      <w:rFonts w:ascii="Arial" w:eastAsia="Arial" w:hAnsi="Arial" w:cs="Arial"/>
    </w:rPr>
  </w:style>
  <w:style w:type="table" w:styleId="TableGrid">
    <w:name w:val="Table Grid"/>
    <w:basedOn w:val="TableNormal"/>
    <w:uiPriority w:val="59"/>
    <w:rsid w:val="009A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BC5"/>
    <w:rPr>
      <w:color w:val="0000FF" w:themeColor="hyperlink"/>
      <w:u w:val="single"/>
    </w:rPr>
  </w:style>
  <w:style w:type="paragraph" w:customStyle="1" w:styleId="default">
    <w:name w:val="default"/>
    <w:basedOn w:val="Normal"/>
    <w:rsid w:val="0039058A"/>
    <w:pPr>
      <w:widowControl/>
    </w:pPr>
    <w:rPr>
      <w:rFonts w:eastAsiaTheme="minorHAnsi"/>
      <w:color w:val="000000"/>
      <w:sz w:val="24"/>
      <w:szCs w:val="24"/>
    </w:rPr>
  </w:style>
  <w:style w:type="character" w:customStyle="1" w:styleId="BodyTextChar">
    <w:name w:val="Body Text Char"/>
    <w:basedOn w:val="DefaultParagraphFont"/>
    <w:link w:val="BodyText"/>
    <w:uiPriority w:val="1"/>
    <w:rsid w:val="002813F6"/>
    <w:rPr>
      <w:rFonts w:ascii="Arial" w:eastAsia="Arial" w:hAnsi="Arial" w:cs="Arial"/>
      <w:sz w:val="20"/>
      <w:szCs w:val="20"/>
    </w:rPr>
  </w:style>
  <w:style w:type="character" w:styleId="FollowedHyperlink">
    <w:name w:val="FollowedHyperlink"/>
    <w:basedOn w:val="DefaultParagraphFont"/>
    <w:uiPriority w:val="99"/>
    <w:semiHidden/>
    <w:unhideWhenUsed/>
    <w:rsid w:val="006F1F88"/>
    <w:rPr>
      <w:color w:val="800080" w:themeColor="followedHyperlink"/>
      <w:u w:val="single"/>
    </w:rPr>
  </w:style>
  <w:style w:type="paragraph" w:customStyle="1" w:styleId="Default0">
    <w:name w:val="Default"/>
    <w:rsid w:val="00F2567D"/>
    <w:pPr>
      <w:widowControl/>
      <w:adjustRightInd w:val="0"/>
    </w:pPr>
    <w:rPr>
      <w:rFonts w:ascii="Archer Book" w:hAnsi="Archer Book" w:cs="Archer Book"/>
      <w:color w:val="000000"/>
      <w:sz w:val="24"/>
      <w:szCs w:val="24"/>
    </w:rPr>
  </w:style>
  <w:style w:type="paragraph" w:styleId="FootnoteText">
    <w:name w:val="footnote text"/>
    <w:basedOn w:val="Normal"/>
    <w:link w:val="FootnoteTextChar"/>
    <w:uiPriority w:val="99"/>
    <w:semiHidden/>
    <w:unhideWhenUsed/>
    <w:rsid w:val="006770EC"/>
    <w:rPr>
      <w:sz w:val="20"/>
      <w:szCs w:val="20"/>
    </w:rPr>
  </w:style>
  <w:style w:type="character" w:customStyle="1" w:styleId="FootnoteTextChar">
    <w:name w:val="Footnote Text Char"/>
    <w:basedOn w:val="DefaultParagraphFont"/>
    <w:link w:val="FootnoteText"/>
    <w:uiPriority w:val="99"/>
    <w:semiHidden/>
    <w:rsid w:val="006770EC"/>
    <w:rPr>
      <w:rFonts w:ascii="Arial" w:eastAsia="Arial" w:hAnsi="Arial" w:cs="Arial"/>
      <w:sz w:val="20"/>
      <w:szCs w:val="20"/>
    </w:rPr>
  </w:style>
  <w:style w:type="character" w:styleId="FootnoteReference">
    <w:name w:val="footnote reference"/>
    <w:basedOn w:val="DefaultParagraphFont"/>
    <w:uiPriority w:val="99"/>
    <w:semiHidden/>
    <w:unhideWhenUsed/>
    <w:rsid w:val="006770EC"/>
    <w:rPr>
      <w:vertAlign w:val="superscript"/>
    </w:rPr>
  </w:style>
  <w:style w:type="paragraph" w:customStyle="1" w:styleId="articlep">
    <w:name w:val="article__p"/>
    <w:basedOn w:val="Normal"/>
    <w:rsid w:val="00C41E4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99"/>
    <w:qFormat/>
    <w:rsid w:val="00F14793"/>
    <w:rPr>
      <w:b/>
      <w:bCs/>
    </w:rPr>
  </w:style>
  <w:style w:type="paragraph" w:customStyle="1" w:styleId="pt-policytext-000006">
    <w:name w:val="pt-policytext-000006"/>
    <w:basedOn w:val="Normal"/>
    <w:rsid w:val="002D505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t-defaultparagraphfont-000007">
    <w:name w:val="pt-defaultparagraphfont-000007"/>
    <w:basedOn w:val="DefaultParagraphFont"/>
    <w:rsid w:val="002D5050"/>
  </w:style>
  <w:style w:type="paragraph" w:styleId="TOCHeading">
    <w:name w:val="TOC Heading"/>
    <w:basedOn w:val="Heading1"/>
    <w:next w:val="Normal"/>
    <w:uiPriority w:val="39"/>
    <w:unhideWhenUsed/>
    <w:qFormat/>
    <w:rsid w:val="002E112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2E1126"/>
    <w:pPr>
      <w:spacing w:after="100"/>
    </w:pPr>
  </w:style>
  <w:style w:type="paragraph" w:styleId="TOC2">
    <w:name w:val="toc 2"/>
    <w:basedOn w:val="Normal"/>
    <w:next w:val="Normal"/>
    <w:autoRedefine/>
    <w:uiPriority w:val="39"/>
    <w:unhideWhenUsed/>
    <w:rsid w:val="002E1126"/>
    <w:pPr>
      <w:spacing w:after="100"/>
      <w:ind w:left="220"/>
    </w:pPr>
  </w:style>
  <w:style w:type="character" w:customStyle="1" w:styleId="UnresolvedMention1">
    <w:name w:val="Unresolved Mention1"/>
    <w:basedOn w:val="DefaultParagraphFont"/>
    <w:uiPriority w:val="99"/>
    <w:semiHidden/>
    <w:unhideWhenUsed/>
    <w:rsid w:val="00611AD4"/>
    <w:rPr>
      <w:color w:val="605E5C"/>
      <w:shd w:val="clear" w:color="auto" w:fill="E1DFDD"/>
    </w:rPr>
  </w:style>
  <w:style w:type="paragraph" w:styleId="NormalWeb">
    <w:name w:val="Normal (Web)"/>
    <w:basedOn w:val="Normal"/>
    <w:uiPriority w:val="99"/>
    <w:semiHidden/>
    <w:unhideWhenUsed/>
    <w:rsid w:val="000D25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5884">
      <w:bodyDiv w:val="1"/>
      <w:marLeft w:val="0"/>
      <w:marRight w:val="0"/>
      <w:marTop w:val="0"/>
      <w:marBottom w:val="0"/>
      <w:divBdr>
        <w:top w:val="none" w:sz="0" w:space="0" w:color="auto"/>
        <w:left w:val="none" w:sz="0" w:space="0" w:color="auto"/>
        <w:bottom w:val="none" w:sz="0" w:space="0" w:color="auto"/>
        <w:right w:val="none" w:sz="0" w:space="0" w:color="auto"/>
      </w:divBdr>
    </w:div>
    <w:div w:id="92946843">
      <w:bodyDiv w:val="1"/>
      <w:marLeft w:val="0"/>
      <w:marRight w:val="0"/>
      <w:marTop w:val="0"/>
      <w:marBottom w:val="0"/>
      <w:divBdr>
        <w:top w:val="none" w:sz="0" w:space="0" w:color="auto"/>
        <w:left w:val="none" w:sz="0" w:space="0" w:color="auto"/>
        <w:bottom w:val="none" w:sz="0" w:space="0" w:color="auto"/>
        <w:right w:val="none" w:sz="0" w:space="0" w:color="auto"/>
      </w:divBdr>
    </w:div>
    <w:div w:id="259066150">
      <w:bodyDiv w:val="1"/>
      <w:marLeft w:val="0"/>
      <w:marRight w:val="0"/>
      <w:marTop w:val="0"/>
      <w:marBottom w:val="0"/>
      <w:divBdr>
        <w:top w:val="none" w:sz="0" w:space="0" w:color="auto"/>
        <w:left w:val="none" w:sz="0" w:space="0" w:color="auto"/>
        <w:bottom w:val="none" w:sz="0" w:space="0" w:color="auto"/>
        <w:right w:val="none" w:sz="0" w:space="0" w:color="auto"/>
      </w:divBdr>
    </w:div>
    <w:div w:id="346098878">
      <w:bodyDiv w:val="1"/>
      <w:marLeft w:val="0"/>
      <w:marRight w:val="0"/>
      <w:marTop w:val="0"/>
      <w:marBottom w:val="0"/>
      <w:divBdr>
        <w:top w:val="none" w:sz="0" w:space="0" w:color="auto"/>
        <w:left w:val="none" w:sz="0" w:space="0" w:color="auto"/>
        <w:bottom w:val="none" w:sz="0" w:space="0" w:color="auto"/>
        <w:right w:val="none" w:sz="0" w:space="0" w:color="auto"/>
      </w:divBdr>
    </w:div>
    <w:div w:id="362053230">
      <w:bodyDiv w:val="1"/>
      <w:marLeft w:val="0"/>
      <w:marRight w:val="0"/>
      <w:marTop w:val="0"/>
      <w:marBottom w:val="0"/>
      <w:divBdr>
        <w:top w:val="none" w:sz="0" w:space="0" w:color="auto"/>
        <w:left w:val="none" w:sz="0" w:space="0" w:color="auto"/>
        <w:bottom w:val="none" w:sz="0" w:space="0" w:color="auto"/>
        <w:right w:val="none" w:sz="0" w:space="0" w:color="auto"/>
      </w:divBdr>
    </w:div>
    <w:div w:id="565263709">
      <w:bodyDiv w:val="1"/>
      <w:marLeft w:val="0"/>
      <w:marRight w:val="0"/>
      <w:marTop w:val="0"/>
      <w:marBottom w:val="0"/>
      <w:divBdr>
        <w:top w:val="none" w:sz="0" w:space="0" w:color="auto"/>
        <w:left w:val="none" w:sz="0" w:space="0" w:color="auto"/>
        <w:bottom w:val="none" w:sz="0" w:space="0" w:color="auto"/>
        <w:right w:val="none" w:sz="0" w:space="0" w:color="auto"/>
      </w:divBdr>
    </w:div>
    <w:div w:id="695892676">
      <w:bodyDiv w:val="1"/>
      <w:marLeft w:val="0"/>
      <w:marRight w:val="0"/>
      <w:marTop w:val="0"/>
      <w:marBottom w:val="0"/>
      <w:divBdr>
        <w:top w:val="none" w:sz="0" w:space="0" w:color="auto"/>
        <w:left w:val="none" w:sz="0" w:space="0" w:color="auto"/>
        <w:bottom w:val="none" w:sz="0" w:space="0" w:color="auto"/>
        <w:right w:val="none" w:sz="0" w:space="0" w:color="auto"/>
      </w:divBdr>
    </w:div>
    <w:div w:id="709721464">
      <w:bodyDiv w:val="1"/>
      <w:marLeft w:val="0"/>
      <w:marRight w:val="0"/>
      <w:marTop w:val="0"/>
      <w:marBottom w:val="0"/>
      <w:divBdr>
        <w:top w:val="none" w:sz="0" w:space="0" w:color="auto"/>
        <w:left w:val="none" w:sz="0" w:space="0" w:color="auto"/>
        <w:bottom w:val="none" w:sz="0" w:space="0" w:color="auto"/>
        <w:right w:val="none" w:sz="0" w:space="0" w:color="auto"/>
      </w:divBdr>
    </w:div>
    <w:div w:id="721442927">
      <w:bodyDiv w:val="1"/>
      <w:marLeft w:val="0"/>
      <w:marRight w:val="0"/>
      <w:marTop w:val="0"/>
      <w:marBottom w:val="0"/>
      <w:divBdr>
        <w:top w:val="none" w:sz="0" w:space="0" w:color="auto"/>
        <w:left w:val="none" w:sz="0" w:space="0" w:color="auto"/>
        <w:bottom w:val="none" w:sz="0" w:space="0" w:color="auto"/>
        <w:right w:val="none" w:sz="0" w:space="0" w:color="auto"/>
      </w:divBdr>
    </w:div>
    <w:div w:id="1076629821">
      <w:bodyDiv w:val="1"/>
      <w:marLeft w:val="0"/>
      <w:marRight w:val="0"/>
      <w:marTop w:val="0"/>
      <w:marBottom w:val="0"/>
      <w:divBdr>
        <w:top w:val="none" w:sz="0" w:space="0" w:color="auto"/>
        <w:left w:val="none" w:sz="0" w:space="0" w:color="auto"/>
        <w:bottom w:val="none" w:sz="0" w:space="0" w:color="auto"/>
        <w:right w:val="none" w:sz="0" w:space="0" w:color="auto"/>
      </w:divBdr>
      <w:divsChild>
        <w:div w:id="414665081">
          <w:marLeft w:val="0"/>
          <w:marRight w:val="0"/>
          <w:marTop w:val="150"/>
          <w:marBottom w:val="0"/>
          <w:divBdr>
            <w:top w:val="single" w:sz="6" w:space="0" w:color="CCCCCC"/>
            <w:left w:val="none" w:sz="0" w:space="0" w:color="auto"/>
            <w:bottom w:val="none" w:sz="0" w:space="0" w:color="auto"/>
            <w:right w:val="none" w:sz="0" w:space="0" w:color="auto"/>
          </w:divBdr>
          <w:divsChild>
            <w:div w:id="2015526224">
              <w:marLeft w:val="0"/>
              <w:marRight w:val="0"/>
              <w:marTop w:val="0"/>
              <w:marBottom w:val="0"/>
              <w:divBdr>
                <w:top w:val="none" w:sz="0" w:space="0" w:color="auto"/>
                <w:left w:val="none" w:sz="0" w:space="0" w:color="auto"/>
                <w:bottom w:val="none" w:sz="0" w:space="0" w:color="auto"/>
                <w:right w:val="none" w:sz="0" w:space="0" w:color="auto"/>
              </w:divBdr>
              <w:divsChild>
                <w:div w:id="211120196">
                  <w:marLeft w:val="0"/>
                  <w:marRight w:val="0"/>
                  <w:marTop w:val="0"/>
                  <w:marBottom w:val="0"/>
                  <w:divBdr>
                    <w:top w:val="none" w:sz="0" w:space="0" w:color="auto"/>
                    <w:left w:val="none" w:sz="0" w:space="0" w:color="auto"/>
                    <w:bottom w:val="none" w:sz="0" w:space="0" w:color="auto"/>
                    <w:right w:val="none" w:sz="0" w:space="0" w:color="auto"/>
                  </w:divBdr>
                  <w:divsChild>
                    <w:div w:id="2047674716">
                      <w:marLeft w:val="0"/>
                      <w:marRight w:val="0"/>
                      <w:marTop w:val="0"/>
                      <w:marBottom w:val="450"/>
                      <w:divBdr>
                        <w:top w:val="none" w:sz="0" w:space="0" w:color="auto"/>
                        <w:left w:val="none" w:sz="0" w:space="0" w:color="auto"/>
                        <w:bottom w:val="none" w:sz="0" w:space="0" w:color="auto"/>
                        <w:right w:val="none" w:sz="0" w:space="0" w:color="auto"/>
                      </w:divBdr>
                      <w:divsChild>
                        <w:div w:id="1191456791">
                          <w:marLeft w:val="0"/>
                          <w:marRight w:val="0"/>
                          <w:marTop w:val="0"/>
                          <w:marBottom w:val="0"/>
                          <w:divBdr>
                            <w:top w:val="none" w:sz="0" w:space="0" w:color="auto"/>
                            <w:left w:val="none" w:sz="0" w:space="0" w:color="auto"/>
                            <w:bottom w:val="none" w:sz="0" w:space="0" w:color="auto"/>
                            <w:right w:val="none" w:sz="0" w:space="0" w:color="auto"/>
                          </w:divBdr>
                          <w:divsChild>
                            <w:div w:id="14751034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098310">
      <w:bodyDiv w:val="1"/>
      <w:marLeft w:val="0"/>
      <w:marRight w:val="0"/>
      <w:marTop w:val="0"/>
      <w:marBottom w:val="0"/>
      <w:divBdr>
        <w:top w:val="none" w:sz="0" w:space="0" w:color="auto"/>
        <w:left w:val="none" w:sz="0" w:space="0" w:color="auto"/>
        <w:bottom w:val="none" w:sz="0" w:space="0" w:color="auto"/>
        <w:right w:val="none" w:sz="0" w:space="0" w:color="auto"/>
      </w:divBdr>
      <w:divsChild>
        <w:div w:id="1271739848">
          <w:marLeft w:val="0"/>
          <w:marRight w:val="0"/>
          <w:marTop w:val="300"/>
          <w:marBottom w:val="0"/>
          <w:divBdr>
            <w:top w:val="none" w:sz="0" w:space="0" w:color="auto"/>
            <w:left w:val="none" w:sz="0" w:space="0" w:color="auto"/>
            <w:bottom w:val="none" w:sz="0" w:space="0" w:color="auto"/>
            <w:right w:val="none" w:sz="0" w:space="0" w:color="auto"/>
          </w:divBdr>
          <w:divsChild>
            <w:div w:id="1268081716">
              <w:marLeft w:val="0"/>
              <w:marRight w:val="0"/>
              <w:marTop w:val="225"/>
              <w:marBottom w:val="0"/>
              <w:divBdr>
                <w:top w:val="single" w:sz="6" w:space="0" w:color="9CBDFF"/>
                <w:left w:val="none" w:sz="0" w:space="0" w:color="auto"/>
                <w:bottom w:val="single" w:sz="6" w:space="0" w:color="9CBDFF"/>
                <w:right w:val="none" w:sz="0" w:space="0" w:color="auto"/>
              </w:divBdr>
              <w:divsChild>
                <w:div w:id="2074427405">
                  <w:marLeft w:val="0"/>
                  <w:marRight w:val="0"/>
                  <w:marTop w:val="0"/>
                  <w:marBottom w:val="0"/>
                  <w:divBdr>
                    <w:top w:val="none" w:sz="0" w:space="0" w:color="auto"/>
                    <w:left w:val="none" w:sz="0" w:space="0" w:color="auto"/>
                    <w:bottom w:val="none" w:sz="0" w:space="0" w:color="auto"/>
                    <w:right w:val="none" w:sz="0" w:space="0" w:color="auto"/>
                  </w:divBdr>
                  <w:divsChild>
                    <w:div w:id="385684328">
                      <w:marLeft w:val="300"/>
                      <w:marRight w:val="300"/>
                      <w:marTop w:val="300"/>
                      <w:marBottom w:val="0"/>
                      <w:divBdr>
                        <w:top w:val="none" w:sz="0" w:space="0" w:color="auto"/>
                        <w:left w:val="none" w:sz="0" w:space="0" w:color="auto"/>
                        <w:bottom w:val="none" w:sz="0" w:space="0" w:color="auto"/>
                        <w:right w:val="none" w:sz="0" w:space="0" w:color="auto"/>
                      </w:divBdr>
                      <w:divsChild>
                        <w:div w:id="687298216">
                          <w:marLeft w:val="0"/>
                          <w:marRight w:val="0"/>
                          <w:marTop w:val="0"/>
                          <w:marBottom w:val="0"/>
                          <w:divBdr>
                            <w:top w:val="none" w:sz="0" w:space="0" w:color="auto"/>
                            <w:left w:val="none" w:sz="0" w:space="0" w:color="auto"/>
                            <w:bottom w:val="none" w:sz="0" w:space="0" w:color="auto"/>
                            <w:right w:val="none" w:sz="0" w:space="0" w:color="auto"/>
                          </w:divBdr>
                          <w:divsChild>
                            <w:div w:id="960500114">
                              <w:marLeft w:val="0"/>
                              <w:marRight w:val="0"/>
                              <w:marTop w:val="0"/>
                              <w:marBottom w:val="0"/>
                              <w:divBdr>
                                <w:top w:val="none" w:sz="0" w:space="0" w:color="auto"/>
                                <w:left w:val="none" w:sz="0" w:space="0" w:color="auto"/>
                                <w:bottom w:val="none" w:sz="0" w:space="0" w:color="auto"/>
                                <w:right w:val="none" w:sz="0" w:space="0" w:color="auto"/>
                              </w:divBdr>
                              <w:divsChild>
                                <w:div w:id="3708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254388">
      <w:bodyDiv w:val="1"/>
      <w:marLeft w:val="0"/>
      <w:marRight w:val="0"/>
      <w:marTop w:val="0"/>
      <w:marBottom w:val="0"/>
      <w:divBdr>
        <w:top w:val="none" w:sz="0" w:space="0" w:color="auto"/>
        <w:left w:val="none" w:sz="0" w:space="0" w:color="auto"/>
        <w:bottom w:val="none" w:sz="0" w:space="0" w:color="auto"/>
        <w:right w:val="none" w:sz="0" w:space="0" w:color="auto"/>
      </w:divBdr>
      <w:divsChild>
        <w:div w:id="472723626">
          <w:marLeft w:val="0"/>
          <w:marRight w:val="0"/>
          <w:marTop w:val="0"/>
          <w:marBottom w:val="0"/>
          <w:divBdr>
            <w:top w:val="none" w:sz="0" w:space="0" w:color="auto"/>
            <w:left w:val="none" w:sz="0" w:space="0" w:color="auto"/>
            <w:bottom w:val="none" w:sz="0" w:space="0" w:color="auto"/>
            <w:right w:val="none" w:sz="0" w:space="0" w:color="auto"/>
          </w:divBdr>
        </w:div>
        <w:div w:id="2062485510">
          <w:marLeft w:val="0"/>
          <w:marRight w:val="0"/>
          <w:marTop w:val="0"/>
          <w:marBottom w:val="0"/>
          <w:divBdr>
            <w:top w:val="none" w:sz="0" w:space="0" w:color="auto"/>
            <w:left w:val="none" w:sz="0" w:space="0" w:color="auto"/>
            <w:bottom w:val="none" w:sz="0" w:space="0" w:color="auto"/>
            <w:right w:val="none" w:sz="0" w:space="0" w:color="auto"/>
          </w:divBdr>
        </w:div>
      </w:divsChild>
    </w:div>
    <w:div w:id="1306548629">
      <w:bodyDiv w:val="1"/>
      <w:marLeft w:val="0"/>
      <w:marRight w:val="0"/>
      <w:marTop w:val="0"/>
      <w:marBottom w:val="0"/>
      <w:divBdr>
        <w:top w:val="none" w:sz="0" w:space="0" w:color="auto"/>
        <w:left w:val="none" w:sz="0" w:space="0" w:color="auto"/>
        <w:bottom w:val="none" w:sz="0" w:space="0" w:color="auto"/>
        <w:right w:val="none" w:sz="0" w:space="0" w:color="auto"/>
      </w:divBdr>
      <w:divsChild>
        <w:div w:id="1617328062">
          <w:marLeft w:val="0"/>
          <w:marRight w:val="0"/>
          <w:marTop w:val="0"/>
          <w:marBottom w:val="0"/>
          <w:divBdr>
            <w:top w:val="none" w:sz="0" w:space="0" w:color="auto"/>
            <w:left w:val="none" w:sz="0" w:space="0" w:color="auto"/>
            <w:bottom w:val="none" w:sz="0" w:space="0" w:color="auto"/>
            <w:right w:val="none" w:sz="0" w:space="0" w:color="auto"/>
          </w:divBdr>
          <w:divsChild>
            <w:div w:id="1900626801">
              <w:marLeft w:val="0"/>
              <w:marRight w:val="0"/>
              <w:marTop w:val="0"/>
              <w:marBottom w:val="0"/>
              <w:divBdr>
                <w:top w:val="none" w:sz="0" w:space="0" w:color="auto"/>
                <w:left w:val="none" w:sz="0" w:space="0" w:color="auto"/>
                <w:bottom w:val="none" w:sz="0" w:space="0" w:color="auto"/>
                <w:right w:val="none" w:sz="0" w:space="0" w:color="auto"/>
              </w:divBdr>
              <w:divsChild>
                <w:div w:id="1279292050">
                  <w:marLeft w:val="0"/>
                  <w:marRight w:val="0"/>
                  <w:marTop w:val="0"/>
                  <w:marBottom w:val="0"/>
                  <w:divBdr>
                    <w:top w:val="none" w:sz="0" w:space="0" w:color="auto"/>
                    <w:left w:val="none" w:sz="0" w:space="0" w:color="auto"/>
                    <w:bottom w:val="none" w:sz="0" w:space="0" w:color="auto"/>
                    <w:right w:val="none" w:sz="0" w:space="0" w:color="auto"/>
                  </w:divBdr>
                  <w:divsChild>
                    <w:div w:id="1421945170">
                      <w:marLeft w:val="0"/>
                      <w:marRight w:val="0"/>
                      <w:marTop w:val="0"/>
                      <w:marBottom w:val="0"/>
                      <w:divBdr>
                        <w:top w:val="none" w:sz="0" w:space="0" w:color="auto"/>
                        <w:left w:val="none" w:sz="0" w:space="0" w:color="auto"/>
                        <w:bottom w:val="none" w:sz="0" w:space="0" w:color="auto"/>
                        <w:right w:val="none" w:sz="0" w:space="0" w:color="auto"/>
                      </w:divBdr>
                      <w:divsChild>
                        <w:div w:id="1801611777">
                          <w:marLeft w:val="0"/>
                          <w:marRight w:val="0"/>
                          <w:marTop w:val="0"/>
                          <w:marBottom w:val="0"/>
                          <w:divBdr>
                            <w:top w:val="none" w:sz="0" w:space="0" w:color="auto"/>
                            <w:left w:val="none" w:sz="0" w:space="0" w:color="auto"/>
                            <w:bottom w:val="none" w:sz="0" w:space="0" w:color="auto"/>
                            <w:right w:val="none" w:sz="0" w:space="0" w:color="auto"/>
                          </w:divBdr>
                          <w:divsChild>
                            <w:div w:id="1025448975">
                              <w:marLeft w:val="0"/>
                              <w:marRight w:val="0"/>
                              <w:marTop w:val="0"/>
                              <w:marBottom w:val="0"/>
                              <w:divBdr>
                                <w:top w:val="none" w:sz="0" w:space="0" w:color="auto"/>
                                <w:left w:val="none" w:sz="0" w:space="0" w:color="auto"/>
                                <w:bottom w:val="none" w:sz="0" w:space="0" w:color="auto"/>
                                <w:right w:val="none" w:sz="0" w:space="0" w:color="auto"/>
                              </w:divBdr>
                              <w:divsChild>
                                <w:div w:id="1758088506">
                                  <w:marLeft w:val="0"/>
                                  <w:marRight w:val="0"/>
                                  <w:marTop w:val="0"/>
                                  <w:marBottom w:val="0"/>
                                  <w:divBdr>
                                    <w:top w:val="none" w:sz="0" w:space="0" w:color="auto"/>
                                    <w:left w:val="none" w:sz="0" w:space="0" w:color="auto"/>
                                    <w:bottom w:val="none" w:sz="0" w:space="0" w:color="auto"/>
                                    <w:right w:val="none" w:sz="0" w:space="0" w:color="auto"/>
                                  </w:divBdr>
                                  <w:divsChild>
                                    <w:div w:id="784235238">
                                      <w:marLeft w:val="0"/>
                                      <w:marRight w:val="0"/>
                                      <w:marTop w:val="0"/>
                                      <w:marBottom w:val="0"/>
                                      <w:divBdr>
                                        <w:top w:val="none" w:sz="0" w:space="0" w:color="auto"/>
                                        <w:left w:val="none" w:sz="0" w:space="0" w:color="auto"/>
                                        <w:bottom w:val="none" w:sz="0" w:space="0" w:color="auto"/>
                                        <w:right w:val="none" w:sz="0" w:space="0" w:color="auto"/>
                                      </w:divBdr>
                                      <w:divsChild>
                                        <w:div w:id="316417228">
                                          <w:marLeft w:val="0"/>
                                          <w:marRight w:val="0"/>
                                          <w:marTop w:val="0"/>
                                          <w:marBottom w:val="0"/>
                                          <w:divBdr>
                                            <w:top w:val="none" w:sz="0" w:space="0" w:color="auto"/>
                                            <w:left w:val="none" w:sz="0" w:space="0" w:color="auto"/>
                                            <w:bottom w:val="none" w:sz="0" w:space="0" w:color="auto"/>
                                            <w:right w:val="none" w:sz="0" w:space="0" w:color="auto"/>
                                          </w:divBdr>
                                          <w:divsChild>
                                            <w:div w:id="1251965701">
                                              <w:marLeft w:val="0"/>
                                              <w:marRight w:val="0"/>
                                              <w:marTop w:val="0"/>
                                              <w:marBottom w:val="0"/>
                                              <w:divBdr>
                                                <w:top w:val="none" w:sz="0" w:space="0" w:color="auto"/>
                                                <w:left w:val="none" w:sz="0" w:space="0" w:color="auto"/>
                                                <w:bottom w:val="none" w:sz="0" w:space="0" w:color="auto"/>
                                                <w:right w:val="none" w:sz="0" w:space="0" w:color="auto"/>
                                              </w:divBdr>
                                              <w:divsChild>
                                                <w:div w:id="1097360857">
                                                  <w:marLeft w:val="0"/>
                                                  <w:marRight w:val="0"/>
                                                  <w:marTop w:val="0"/>
                                                  <w:marBottom w:val="0"/>
                                                  <w:divBdr>
                                                    <w:top w:val="none" w:sz="0" w:space="0" w:color="auto"/>
                                                    <w:left w:val="none" w:sz="0" w:space="0" w:color="auto"/>
                                                    <w:bottom w:val="none" w:sz="0" w:space="0" w:color="auto"/>
                                                    <w:right w:val="none" w:sz="0" w:space="0" w:color="auto"/>
                                                  </w:divBdr>
                                                  <w:divsChild>
                                                    <w:div w:id="6343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966575">
      <w:bodyDiv w:val="1"/>
      <w:marLeft w:val="0"/>
      <w:marRight w:val="0"/>
      <w:marTop w:val="0"/>
      <w:marBottom w:val="0"/>
      <w:divBdr>
        <w:top w:val="none" w:sz="0" w:space="0" w:color="auto"/>
        <w:left w:val="none" w:sz="0" w:space="0" w:color="auto"/>
        <w:bottom w:val="none" w:sz="0" w:space="0" w:color="auto"/>
        <w:right w:val="none" w:sz="0" w:space="0" w:color="auto"/>
      </w:divBdr>
    </w:div>
    <w:div w:id="1461537930">
      <w:bodyDiv w:val="1"/>
      <w:marLeft w:val="0"/>
      <w:marRight w:val="0"/>
      <w:marTop w:val="0"/>
      <w:marBottom w:val="0"/>
      <w:divBdr>
        <w:top w:val="none" w:sz="0" w:space="0" w:color="auto"/>
        <w:left w:val="none" w:sz="0" w:space="0" w:color="auto"/>
        <w:bottom w:val="none" w:sz="0" w:space="0" w:color="auto"/>
        <w:right w:val="none" w:sz="0" w:space="0" w:color="auto"/>
      </w:divBdr>
    </w:div>
    <w:div w:id="1478256315">
      <w:bodyDiv w:val="1"/>
      <w:marLeft w:val="0"/>
      <w:marRight w:val="0"/>
      <w:marTop w:val="0"/>
      <w:marBottom w:val="0"/>
      <w:divBdr>
        <w:top w:val="none" w:sz="0" w:space="0" w:color="auto"/>
        <w:left w:val="none" w:sz="0" w:space="0" w:color="auto"/>
        <w:bottom w:val="none" w:sz="0" w:space="0" w:color="auto"/>
        <w:right w:val="none" w:sz="0" w:space="0" w:color="auto"/>
      </w:divBdr>
    </w:div>
    <w:div w:id="1672874961">
      <w:bodyDiv w:val="1"/>
      <w:marLeft w:val="0"/>
      <w:marRight w:val="0"/>
      <w:marTop w:val="0"/>
      <w:marBottom w:val="0"/>
      <w:divBdr>
        <w:top w:val="none" w:sz="0" w:space="0" w:color="auto"/>
        <w:left w:val="none" w:sz="0" w:space="0" w:color="auto"/>
        <w:bottom w:val="none" w:sz="0" w:space="0" w:color="auto"/>
        <w:right w:val="none" w:sz="0" w:space="0" w:color="auto"/>
      </w:divBdr>
    </w:div>
    <w:div w:id="1742097953">
      <w:bodyDiv w:val="1"/>
      <w:marLeft w:val="0"/>
      <w:marRight w:val="0"/>
      <w:marTop w:val="0"/>
      <w:marBottom w:val="0"/>
      <w:divBdr>
        <w:top w:val="none" w:sz="0" w:space="0" w:color="auto"/>
        <w:left w:val="none" w:sz="0" w:space="0" w:color="auto"/>
        <w:bottom w:val="none" w:sz="0" w:space="0" w:color="auto"/>
        <w:right w:val="none" w:sz="0" w:space="0" w:color="auto"/>
      </w:divBdr>
      <w:divsChild>
        <w:div w:id="976377091">
          <w:marLeft w:val="0"/>
          <w:marRight w:val="0"/>
          <w:marTop w:val="150"/>
          <w:marBottom w:val="0"/>
          <w:divBdr>
            <w:top w:val="single" w:sz="6" w:space="0" w:color="CCCCCC"/>
            <w:left w:val="none" w:sz="0" w:space="0" w:color="auto"/>
            <w:bottom w:val="none" w:sz="0" w:space="0" w:color="auto"/>
            <w:right w:val="none" w:sz="0" w:space="0" w:color="auto"/>
          </w:divBdr>
          <w:divsChild>
            <w:div w:id="715082498">
              <w:marLeft w:val="0"/>
              <w:marRight w:val="0"/>
              <w:marTop w:val="0"/>
              <w:marBottom w:val="0"/>
              <w:divBdr>
                <w:top w:val="none" w:sz="0" w:space="0" w:color="auto"/>
                <w:left w:val="none" w:sz="0" w:space="0" w:color="auto"/>
                <w:bottom w:val="none" w:sz="0" w:space="0" w:color="auto"/>
                <w:right w:val="none" w:sz="0" w:space="0" w:color="auto"/>
              </w:divBdr>
              <w:divsChild>
                <w:div w:id="1649557656">
                  <w:marLeft w:val="0"/>
                  <w:marRight w:val="0"/>
                  <w:marTop w:val="0"/>
                  <w:marBottom w:val="0"/>
                  <w:divBdr>
                    <w:top w:val="none" w:sz="0" w:space="0" w:color="auto"/>
                    <w:left w:val="none" w:sz="0" w:space="0" w:color="auto"/>
                    <w:bottom w:val="none" w:sz="0" w:space="0" w:color="auto"/>
                    <w:right w:val="none" w:sz="0" w:space="0" w:color="auto"/>
                  </w:divBdr>
                  <w:divsChild>
                    <w:div w:id="2000310280">
                      <w:marLeft w:val="0"/>
                      <w:marRight w:val="0"/>
                      <w:marTop w:val="0"/>
                      <w:marBottom w:val="450"/>
                      <w:divBdr>
                        <w:top w:val="none" w:sz="0" w:space="0" w:color="auto"/>
                        <w:left w:val="none" w:sz="0" w:space="0" w:color="auto"/>
                        <w:bottom w:val="none" w:sz="0" w:space="0" w:color="auto"/>
                        <w:right w:val="none" w:sz="0" w:space="0" w:color="auto"/>
                      </w:divBdr>
                      <w:divsChild>
                        <w:div w:id="996225511">
                          <w:marLeft w:val="0"/>
                          <w:marRight w:val="0"/>
                          <w:marTop w:val="0"/>
                          <w:marBottom w:val="0"/>
                          <w:divBdr>
                            <w:top w:val="none" w:sz="0" w:space="0" w:color="auto"/>
                            <w:left w:val="none" w:sz="0" w:space="0" w:color="auto"/>
                            <w:bottom w:val="none" w:sz="0" w:space="0" w:color="auto"/>
                            <w:right w:val="none" w:sz="0" w:space="0" w:color="auto"/>
                          </w:divBdr>
                          <w:divsChild>
                            <w:div w:id="5527343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kercheck.finra.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gress.com/tigress/index.cfm/our-services/disclosu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ABBB-6EB2-4515-9D59-CC508E5C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8661</Words>
  <Characters>49369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Microsoft Word - 589776.doc</vt:lpstr>
    </vt:vector>
  </TitlesOfParts>
  <Company>Wells Fargo &amp; Co.</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- 589776.doc</dc:title>
  <dc:creator>A007318</dc:creator>
  <cp:lastModifiedBy>cdibartolo</cp:lastModifiedBy>
  <cp:revision>2</cp:revision>
  <cp:lastPrinted>2019-11-18T15:41:00Z</cp:lastPrinted>
  <dcterms:created xsi:type="dcterms:W3CDTF">2020-06-28T22:42:00Z</dcterms:created>
  <dcterms:modified xsi:type="dcterms:W3CDTF">2020-06-28T22:42:00Z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PScript5.dll Version 5.2.2</vt:lpwstr>
  </property>
  <property fmtid="{D5CDD505-2E9C-101B-9397-08002B2CF9AE}" pid="4" name="LastSaved">
    <vt:filetime>2017-06-06T00:00:00Z</vt:filetime>
  </property>
</Properties>
</file>